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9E12F3" w:rsidP="00F4379C">
      <w:pPr>
        <w:pStyle w:val="Body"/>
      </w:pPr>
      <w:r>
        <w:t xml:space="preserve">Application form test 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F3" w:rsidRDefault="009E12F3" w:rsidP="009160F3">
      <w:r>
        <w:separator/>
      </w:r>
    </w:p>
  </w:endnote>
  <w:endnote w:type="continuationSeparator" w:id="0">
    <w:p w:rsidR="009E12F3" w:rsidRDefault="009E12F3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9E12F3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E12F3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F3" w:rsidRDefault="009E12F3" w:rsidP="009160F3">
      <w:r>
        <w:separator/>
      </w:r>
    </w:p>
  </w:footnote>
  <w:footnote w:type="continuationSeparator" w:id="0">
    <w:p w:rsidR="009E12F3" w:rsidRDefault="009E12F3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9E12F3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EC24ED52-A253-4EF5-83AE-0BD54D48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2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F3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9E12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F3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786802-328E-402E-9743-26E6A4BB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McManus (HR)</dc:creator>
  <cp:keywords/>
  <dc:description/>
  <cp:lastModifiedBy>Grainne McManus (HR)</cp:lastModifiedBy>
  <cp:revision>1</cp:revision>
  <dcterms:created xsi:type="dcterms:W3CDTF">2024-01-03T14:33:00Z</dcterms:created>
  <dcterms:modified xsi:type="dcterms:W3CDTF">2024-01-03T14:33:00Z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