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2B58" w14:textId="64777EA5" w:rsidR="0032110E" w:rsidRDefault="0032110E" w:rsidP="00EF3221">
      <w:pPr>
        <w:spacing w:line="360" w:lineRule="auto"/>
        <w:ind w:left="6"/>
        <w:jc w:val="center"/>
      </w:pPr>
      <w:r>
        <w:rPr>
          <w:rFonts w:ascii="Calibri" w:eastAsia="Calibri" w:hAnsi="Calibri" w:cs="Calibri"/>
          <w:color w:val="5A5A5A"/>
          <w:sz w:val="56"/>
        </w:rPr>
        <w:t>K</w:t>
      </w:r>
      <w:r>
        <w:rPr>
          <w:rFonts w:ascii="Calibri" w:eastAsia="Calibri" w:hAnsi="Calibri" w:cs="Calibri"/>
          <w:color w:val="5A5A5A"/>
          <w:sz w:val="45"/>
        </w:rPr>
        <w:t xml:space="preserve">ARINA </w:t>
      </w:r>
      <w:r>
        <w:rPr>
          <w:rFonts w:ascii="Calibri" w:eastAsia="Calibri" w:hAnsi="Calibri" w:cs="Calibri"/>
          <w:color w:val="5A5A5A"/>
          <w:sz w:val="56"/>
        </w:rPr>
        <w:t>G</w:t>
      </w:r>
      <w:r>
        <w:rPr>
          <w:rFonts w:ascii="Calibri" w:eastAsia="Calibri" w:hAnsi="Calibri" w:cs="Calibri"/>
          <w:color w:val="5A5A5A"/>
          <w:sz w:val="45"/>
        </w:rPr>
        <w:t>ASZEWSKA</w:t>
      </w:r>
    </w:p>
    <w:p w14:paraId="2E8FABB2" w14:textId="7F17891C" w:rsidR="00CD4C72" w:rsidRPr="0032110E" w:rsidRDefault="00CD4C72" w:rsidP="00EF3221">
      <w:pPr>
        <w:pBdr>
          <w:bottom w:val="single" w:sz="4" w:space="1" w:color="auto"/>
        </w:pBdr>
        <w:jc w:val="both"/>
        <w:rPr>
          <w:rFonts w:ascii="Times New Roman" w:hAnsi="Times New Roman" w:cs="Times New Roman"/>
          <w:b/>
          <w:bCs/>
          <w:sz w:val="22"/>
          <w:szCs w:val="22"/>
        </w:rPr>
      </w:pPr>
      <w:r w:rsidRPr="0032110E">
        <w:rPr>
          <w:rFonts w:ascii="Times New Roman" w:hAnsi="Times New Roman" w:cs="Times New Roman"/>
          <w:b/>
          <w:bCs/>
          <w:sz w:val="22"/>
          <w:szCs w:val="22"/>
        </w:rPr>
        <w:t>Personal Details</w:t>
      </w:r>
    </w:p>
    <w:p w14:paraId="44F403F6" w14:textId="05A75E21"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 xml:space="preserve">Email: </w:t>
      </w:r>
      <w:hyperlink r:id="rId7" w:history="1">
        <w:r w:rsidRPr="0032110E">
          <w:rPr>
            <w:rStyle w:val="Hyperlink"/>
            <w:rFonts w:ascii="Times New Roman" w:hAnsi="Times New Roman" w:cs="Times New Roman"/>
            <w:sz w:val="22"/>
            <w:szCs w:val="22"/>
          </w:rPr>
          <w:t>karina.gaszewska2@mail.dcu.ie</w:t>
        </w:r>
      </w:hyperlink>
    </w:p>
    <w:p w14:paraId="4E3893FC" w14:textId="2E34BEC9"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 xml:space="preserve">Phone </w:t>
      </w:r>
      <w:r w:rsidR="00A31A88">
        <w:rPr>
          <w:rFonts w:ascii="Times New Roman" w:hAnsi="Times New Roman" w:cs="Times New Roman"/>
          <w:sz w:val="22"/>
          <w:szCs w:val="22"/>
        </w:rPr>
        <w:t>N</w:t>
      </w:r>
      <w:r w:rsidRPr="0032110E">
        <w:rPr>
          <w:rFonts w:ascii="Times New Roman" w:hAnsi="Times New Roman" w:cs="Times New Roman"/>
          <w:sz w:val="22"/>
          <w:szCs w:val="22"/>
        </w:rPr>
        <w:t>umber: 0877153099</w:t>
      </w:r>
    </w:p>
    <w:p w14:paraId="3DCEA8C2" w14:textId="76D1F4DE"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Date of Birth: 23/01/2001</w:t>
      </w:r>
    </w:p>
    <w:p w14:paraId="6FABD405" w14:textId="2DF1A8E5" w:rsidR="00CD4C72" w:rsidRPr="0032110E" w:rsidRDefault="00CD4C72" w:rsidP="00EF3221">
      <w:pPr>
        <w:jc w:val="both"/>
        <w:rPr>
          <w:rFonts w:ascii="Times New Roman" w:hAnsi="Times New Roman" w:cs="Times New Roman"/>
          <w:b/>
          <w:bCs/>
          <w:sz w:val="22"/>
          <w:szCs w:val="22"/>
        </w:rPr>
      </w:pPr>
    </w:p>
    <w:p w14:paraId="2AE93461" w14:textId="3DC03D67" w:rsidR="00CD4C72" w:rsidRPr="0032110E" w:rsidRDefault="00CD4C72" w:rsidP="00EF3221">
      <w:pPr>
        <w:pBdr>
          <w:bottom w:val="single" w:sz="4" w:space="1" w:color="auto"/>
        </w:pBdr>
        <w:jc w:val="both"/>
        <w:rPr>
          <w:rFonts w:ascii="Times New Roman" w:hAnsi="Times New Roman" w:cs="Times New Roman"/>
          <w:b/>
          <w:bCs/>
          <w:sz w:val="22"/>
          <w:szCs w:val="22"/>
        </w:rPr>
      </w:pPr>
      <w:r w:rsidRPr="0032110E">
        <w:rPr>
          <w:rFonts w:ascii="Times New Roman" w:hAnsi="Times New Roman" w:cs="Times New Roman"/>
          <w:b/>
          <w:bCs/>
          <w:sz w:val="22"/>
          <w:szCs w:val="22"/>
        </w:rPr>
        <w:t>Professional Summary</w:t>
      </w:r>
    </w:p>
    <w:p w14:paraId="13005E08" w14:textId="522923B0"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Confident law student with proven written and oral communication skills and legal research skills. Currently finishing a BCL (Law and Society) degree in Dublin City University. Excited to start a hands-on career in a commercial law firm in the coming years.</w:t>
      </w:r>
    </w:p>
    <w:p w14:paraId="0F4AF8DF" w14:textId="4A3A45FF" w:rsidR="00CD4C72" w:rsidRPr="0032110E" w:rsidRDefault="00CD4C72" w:rsidP="00EF3221">
      <w:pPr>
        <w:jc w:val="both"/>
        <w:rPr>
          <w:rFonts w:ascii="Times New Roman" w:hAnsi="Times New Roman" w:cs="Times New Roman"/>
          <w:sz w:val="22"/>
          <w:szCs w:val="22"/>
        </w:rPr>
      </w:pPr>
    </w:p>
    <w:p w14:paraId="389C3050" w14:textId="3CBCE5BC" w:rsidR="00CD4C72" w:rsidRPr="0032110E" w:rsidRDefault="00CD4C72" w:rsidP="00EF3221">
      <w:pPr>
        <w:pBdr>
          <w:bottom w:val="single" w:sz="4" w:space="1" w:color="auto"/>
        </w:pBdr>
        <w:jc w:val="both"/>
        <w:rPr>
          <w:rFonts w:ascii="Times New Roman" w:hAnsi="Times New Roman" w:cs="Times New Roman"/>
          <w:b/>
          <w:bCs/>
          <w:sz w:val="22"/>
          <w:szCs w:val="22"/>
        </w:rPr>
      </w:pPr>
      <w:r w:rsidRPr="0032110E">
        <w:rPr>
          <w:rFonts w:ascii="Times New Roman" w:hAnsi="Times New Roman" w:cs="Times New Roman"/>
          <w:b/>
          <w:bCs/>
          <w:sz w:val="22"/>
          <w:szCs w:val="22"/>
        </w:rPr>
        <w:t>Education</w:t>
      </w:r>
    </w:p>
    <w:p w14:paraId="35C630FE" w14:textId="4A8833DB" w:rsidR="00CD4C72" w:rsidRPr="00A31A88" w:rsidRDefault="00CD4C72" w:rsidP="00EF3221">
      <w:pPr>
        <w:jc w:val="both"/>
        <w:rPr>
          <w:rFonts w:ascii="Times New Roman" w:hAnsi="Times New Roman" w:cs="Times New Roman"/>
          <w:b/>
          <w:bCs/>
          <w:sz w:val="22"/>
          <w:szCs w:val="22"/>
        </w:rPr>
      </w:pPr>
      <w:r w:rsidRPr="00A31A88">
        <w:rPr>
          <w:rFonts w:ascii="Times New Roman" w:hAnsi="Times New Roman" w:cs="Times New Roman"/>
          <w:b/>
          <w:bCs/>
          <w:sz w:val="22"/>
          <w:szCs w:val="22"/>
        </w:rPr>
        <w:t>Law Society of Ireland, FE-1 exams</w:t>
      </w:r>
    </w:p>
    <w:tbl>
      <w:tblPr>
        <w:tblStyle w:val="TableGrid"/>
        <w:tblW w:w="0" w:type="auto"/>
        <w:tblLook w:val="04A0" w:firstRow="1" w:lastRow="0" w:firstColumn="1" w:lastColumn="0" w:noHBand="0" w:noVBand="1"/>
      </w:tblPr>
      <w:tblGrid>
        <w:gridCol w:w="3003"/>
        <w:gridCol w:w="3003"/>
        <w:gridCol w:w="3004"/>
      </w:tblGrid>
      <w:tr w:rsidR="00CD4C72" w:rsidRPr="0032110E" w14:paraId="6098073D" w14:textId="77777777" w:rsidTr="00CD4C72">
        <w:tc>
          <w:tcPr>
            <w:tcW w:w="3003" w:type="dxa"/>
          </w:tcPr>
          <w:p w14:paraId="6CDFF476" w14:textId="4AC6B8F4"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Criminal Law</w:t>
            </w:r>
          </w:p>
        </w:tc>
        <w:tc>
          <w:tcPr>
            <w:tcW w:w="3003" w:type="dxa"/>
          </w:tcPr>
          <w:p w14:paraId="66B23818" w14:textId="5FBB7AB3"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Pass (50%)</w:t>
            </w:r>
          </w:p>
        </w:tc>
        <w:tc>
          <w:tcPr>
            <w:tcW w:w="3004" w:type="dxa"/>
          </w:tcPr>
          <w:p w14:paraId="5E1ED9D7" w14:textId="09F335F9"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March 2022</w:t>
            </w:r>
          </w:p>
        </w:tc>
      </w:tr>
      <w:tr w:rsidR="00CD4C72" w:rsidRPr="0032110E" w14:paraId="4A4DD04E" w14:textId="77777777" w:rsidTr="00CD4C72">
        <w:tc>
          <w:tcPr>
            <w:tcW w:w="3003" w:type="dxa"/>
          </w:tcPr>
          <w:p w14:paraId="435A8BD9" w14:textId="0ACA60E8"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Real Property</w:t>
            </w:r>
          </w:p>
        </w:tc>
        <w:tc>
          <w:tcPr>
            <w:tcW w:w="3003" w:type="dxa"/>
          </w:tcPr>
          <w:p w14:paraId="03B3D1C3" w14:textId="1807A62A"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Pass (5</w:t>
            </w:r>
            <w:r w:rsidR="00EB39CD">
              <w:rPr>
                <w:rFonts w:ascii="Times New Roman" w:hAnsi="Times New Roman" w:cs="Times New Roman"/>
                <w:sz w:val="22"/>
                <w:szCs w:val="22"/>
              </w:rPr>
              <w:t>7</w:t>
            </w:r>
            <w:r w:rsidRPr="0032110E">
              <w:rPr>
                <w:rFonts w:ascii="Times New Roman" w:hAnsi="Times New Roman" w:cs="Times New Roman"/>
                <w:sz w:val="22"/>
                <w:szCs w:val="22"/>
              </w:rPr>
              <w:t>%)</w:t>
            </w:r>
          </w:p>
        </w:tc>
        <w:tc>
          <w:tcPr>
            <w:tcW w:w="3004" w:type="dxa"/>
          </w:tcPr>
          <w:p w14:paraId="2482D5B9" w14:textId="1DD2C26B"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September 2022</w:t>
            </w:r>
          </w:p>
        </w:tc>
      </w:tr>
    </w:tbl>
    <w:p w14:paraId="46D7652A" w14:textId="263D1FB9" w:rsidR="00CD4C72" w:rsidRPr="0032110E" w:rsidRDefault="00CD4C72" w:rsidP="00EF3221">
      <w:pPr>
        <w:jc w:val="both"/>
        <w:rPr>
          <w:rFonts w:ascii="Times New Roman" w:hAnsi="Times New Roman" w:cs="Times New Roman"/>
          <w:sz w:val="22"/>
          <w:szCs w:val="22"/>
        </w:rPr>
      </w:pPr>
    </w:p>
    <w:p w14:paraId="11F6B874" w14:textId="4FF06906" w:rsidR="00CD4C72" w:rsidRPr="0032110E" w:rsidRDefault="00CD4C72" w:rsidP="00EF3221">
      <w:pPr>
        <w:jc w:val="both"/>
        <w:rPr>
          <w:rFonts w:ascii="Times New Roman" w:hAnsi="Times New Roman" w:cs="Times New Roman"/>
          <w:b/>
          <w:bCs/>
          <w:sz w:val="22"/>
          <w:szCs w:val="22"/>
        </w:rPr>
      </w:pPr>
      <w:r w:rsidRPr="0032110E">
        <w:rPr>
          <w:rFonts w:ascii="Times New Roman" w:hAnsi="Times New Roman" w:cs="Times New Roman"/>
          <w:b/>
          <w:bCs/>
          <w:sz w:val="22"/>
          <w:szCs w:val="22"/>
        </w:rPr>
        <w:t>2019-202</w:t>
      </w:r>
      <w:r w:rsidR="0032110E" w:rsidRPr="0032110E">
        <w:rPr>
          <w:rFonts w:ascii="Times New Roman" w:hAnsi="Times New Roman" w:cs="Times New Roman"/>
          <w:b/>
          <w:bCs/>
          <w:sz w:val="22"/>
          <w:szCs w:val="22"/>
        </w:rPr>
        <w:t>3 Bachelor of Civil Law</w:t>
      </w:r>
    </w:p>
    <w:p w14:paraId="0E9C5F5F" w14:textId="0DC378C6"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Dublin City University</w:t>
      </w:r>
    </w:p>
    <w:p w14:paraId="1EFCEFD7" w14:textId="2A9B5CFE" w:rsidR="00CD4C72" w:rsidRPr="0032110E" w:rsidRDefault="00CD4C72" w:rsidP="00EF3221">
      <w:pPr>
        <w:jc w:val="both"/>
        <w:rPr>
          <w:rFonts w:ascii="Times New Roman" w:hAnsi="Times New Roman" w:cs="Times New Roman"/>
          <w:b/>
          <w:bCs/>
          <w:sz w:val="22"/>
          <w:szCs w:val="22"/>
        </w:rPr>
      </w:pPr>
      <w:r w:rsidRPr="0032110E">
        <w:rPr>
          <w:rFonts w:ascii="Times New Roman" w:hAnsi="Times New Roman" w:cs="Times New Roman"/>
          <w:b/>
          <w:bCs/>
          <w:sz w:val="22"/>
          <w:szCs w:val="22"/>
        </w:rPr>
        <w:t>First year: 2.1</w:t>
      </w:r>
    </w:p>
    <w:tbl>
      <w:tblPr>
        <w:tblStyle w:val="TableGrid"/>
        <w:tblW w:w="0" w:type="auto"/>
        <w:tblLook w:val="04A0" w:firstRow="1" w:lastRow="0" w:firstColumn="1" w:lastColumn="0" w:noHBand="0" w:noVBand="1"/>
      </w:tblPr>
      <w:tblGrid>
        <w:gridCol w:w="4505"/>
        <w:gridCol w:w="4505"/>
      </w:tblGrid>
      <w:tr w:rsidR="00CD4C72" w:rsidRPr="0032110E" w14:paraId="36FB14A7" w14:textId="77777777" w:rsidTr="00CD4C72">
        <w:tc>
          <w:tcPr>
            <w:tcW w:w="4505" w:type="dxa"/>
          </w:tcPr>
          <w:p w14:paraId="415E92EC" w14:textId="791C6978"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Foundations of Law and Legal Research</w:t>
            </w:r>
          </w:p>
        </w:tc>
        <w:tc>
          <w:tcPr>
            <w:tcW w:w="4505" w:type="dxa"/>
          </w:tcPr>
          <w:p w14:paraId="64374265" w14:textId="4F80B8A2"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82%</w:t>
            </w:r>
          </w:p>
        </w:tc>
      </w:tr>
      <w:tr w:rsidR="00CD4C72" w:rsidRPr="0032110E" w14:paraId="399C3DC5" w14:textId="77777777" w:rsidTr="00CD4C72">
        <w:tc>
          <w:tcPr>
            <w:tcW w:w="4505" w:type="dxa"/>
          </w:tcPr>
          <w:p w14:paraId="59541D16" w14:textId="42F2E5AF"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Public International Law</w:t>
            </w:r>
          </w:p>
        </w:tc>
        <w:tc>
          <w:tcPr>
            <w:tcW w:w="4505" w:type="dxa"/>
          </w:tcPr>
          <w:p w14:paraId="0AECCDB5" w14:textId="06974063"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75%</w:t>
            </w:r>
          </w:p>
        </w:tc>
      </w:tr>
      <w:tr w:rsidR="00CD4C72" w:rsidRPr="0032110E" w14:paraId="310B6AAF" w14:textId="77777777" w:rsidTr="00CD4C72">
        <w:tc>
          <w:tcPr>
            <w:tcW w:w="4505" w:type="dxa"/>
          </w:tcPr>
          <w:p w14:paraId="2DE1599F" w14:textId="015172A7"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Critical Approaches to Law</w:t>
            </w:r>
          </w:p>
        </w:tc>
        <w:tc>
          <w:tcPr>
            <w:tcW w:w="4505" w:type="dxa"/>
          </w:tcPr>
          <w:p w14:paraId="3937E9A6" w14:textId="298ED299"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75%</w:t>
            </w:r>
          </w:p>
        </w:tc>
      </w:tr>
    </w:tbl>
    <w:p w14:paraId="254B44A8" w14:textId="1E088C33" w:rsidR="00CD4C72" w:rsidRPr="0032110E" w:rsidRDefault="00CD4C72" w:rsidP="00EF3221">
      <w:pPr>
        <w:jc w:val="both"/>
        <w:rPr>
          <w:rFonts w:ascii="Times New Roman" w:hAnsi="Times New Roman" w:cs="Times New Roman"/>
          <w:sz w:val="22"/>
          <w:szCs w:val="22"/>
        </w:rPr>
      </w:pPr>
    </w:p>
    <w:p w14:paraId="48F74516" w14:textId="29668E6C" w:rsidR="00CD4C72" w:rsidRPr="0032110E" w:rsidRDefault="00CD4C72" w:rsidP="00EF3221">
      <w:pPr>
        <w:jc w:val="both"/>
        <w:rPr>
          <w:rFonts w:ascii="Times New Roman" w:hAnsi="Times New Roman" w:cs="Times New Roman"/>
          <w:b/>
          <w:bCs/>
          <w:sz w:val="22"/>
          <w:szCs w:val="22"/>
        </w:rPr>
      </w:pPr>
      <w:r w:rsidRPr="0032110E">
        <w:rPr>
          <w:rFonts w:ascii="Times New Roman" w:hAnsi="Times New Roman" w:cs="Times New Roman"/>
          <w:b/>
          <w:bCs/>
          <w:sz w:val="22"/>
          <w:szCs w:val="22"/>
        </w:rPr>
        <w:t>Second year: 2.1</w:t>
      </w:r>
    </w:p>
    <w:tbl>
      <w:tblPr>
        <w:tblStyle w:val="TableGrid"/>
        <w:tblW w:w="0" w:type="auto"/>
        <w:tblLook w:val="04A0" w:firstRow="1" w:lastRow="0" w:firstColumn="1" w:lastColumn="0" w:noHBand="0" w:noVBand="1"/>
      </w:tblPr>
      <w:tblGrid>
        <w:gridCol w:w="4505"/>
        <w:gridCol w:w="4505"/>
      </w:tblGrid>
      <w:tr w:rsidR="0032110E" w:rsidRPr="0032110E" w14:paraId="469F176F" w14:textId="77777777" w:rsidTr="0032110E">
        <w:tc>
          <w:tcPr>
            <w:tcW w:w="4505" w:type="dxa"/>
          </w:tcPr>
          <w:p w14:paraId="00E08618" w14:textId="0E4A4F7C"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Family, Law and Society</w:t>
            </w:r>
          </w:p>
        </w:tc>
        <w:tc>
          <w:tcPr>
            <w:tcW w:w="4505" w:type="dxa"/>
          </w:tcPr>
          <w:p w14:paraId="4084EDAF" w14:textId="290E6A4A"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72%</w:t>
            </w:r>
          </w:p>
        </w:tc>
      </w:tr>
      <w:tr w:rsidR="0032110E" w:rsidRPr="0032110E" w14:paraId="71F77A2A" w14:textId="77777777" w:rsidTr="0032110E">
        <w:tc>
          <w:tcPr>
            <w:tcW w:w="4505" w:type="dxa"/>
          </w:tcPr>
          <w:p w14:paraId="6052DFDA" w14:textId="6C290FED"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Healthcare Law and Society</w:t>
            </w:r>
          </w:p>
        </w:tc>
        <w:tc>
          <w:tcPr>
            <w:tcW w:w="4505" w:type="dxa"/>
          </w:tcPr>
          <w:p w14:paraId="6662A8ED" w14:textId="69EE818F"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70%</w:t>
            </w:r>
          </w:p>
        </w:tc>
      </w:tr>
      <w:tr w:rsidR="0032110E" w:rsidRPr="0032110E" w14:paraId="16F2500A" w14:textId="77777777" w:rsidTr="0032110E">
        <w:tc>
          <w:tcPr>
            <w:tcW w:w="4505" w:type="dxa"/>
          </w:tcPr>
          <w:p w14:paraId="3E1696F1" w14:textId="57B4458E"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The Law of Contract</w:t>
            </w:r>
          </w:p>
        </w:tc>
        <w:tc>
          <w:tcPr>
            <w:tcW w:w="4505" w:type="dxa"/>
          </w:tcPr>
          <w:p w14:paraId="03A974CB" w14:textId="3D68221D"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67%</w:t>
            </w:r>
          </w:p>
        </w:tc>
      </w:tr>
    </w:tbl>
    <w:p w14:paraId="5E727D34" w14:textId="6957C9BE" w:rsidR="00CD4C72" w:rsidRPr="0032110E" w:rsidRDefault="00CD4C72" w:rsidP="00EF3221">
      <w:pPr>
        <w:jc w:val="both"/>
        <w:rPr>
          <w:rFonts w:ascii="Times New Roman" w:hAnsi="Times New Roman" w:cs="Times New Roman"/>
          <w:sz w:val="22"/>
          <w:szCs w:val="22"/>
        </w:rPr>
      </w:pPr>
    </w:p>
    <w:p w14:paraId="67E36772" w14:textId="09C9D4EF" w:rsidR="00CD4C72" w:rsidRPr="0032110E" w:rsidRDefault="00CD4C72" w:rsidP="00EF3221">
      <w:pPr>
        <w:jc w:val="both"/>
        <w:rPr>
          <w:rFonts w:ascii="Times New Roman" w:hAnsi="Times New Roman" w:cs="Times New Roman"/>
          <w:b/>
          <w:bCs/>
          <w:sz w:val="22"/>
          <w:szCs w:val="22"/>
        </w:rPr>
      </w:pPr>
      <w:r w:rsidRPr="0032110E">
        <w:rPr>
          <w:rFonts w:ascii="Times New Roman" w:hAnsi="Times New Roman" w:cs="Times New Roman"/>
          <w:b/>
          <w:bCs/>
          <w:sz w:val="22"/>
          <w:szCs w:val="22"/>
        </w:rPr>
        <w:t xml:space="preserve">2014-2019 St. Michael’s Holy Faith Secondary School </w:t>
      </w:r>
    </w:p>
    <w:tbl>
      <w:tblPr>
        <w:tblStyle w:val="TableGrid"/>
        <w:tblW w:w="0" w:type="auto"/>
        <w:tblLook w:val="04A0" w:firstRow="1" w:lastRow="0" w:firstColumn="1" w:lastColumn="0" w:noHBand="0" w:noVBand="1"/>
      </w:tblPr>
      <w:tblGrid>
        <w:gridCol w:w="4505"/>
        <w:gridCol w:w="4505"/>
      </w:tblGrid>
      <w:tr w:rsidR="00CD4C72" w:rsidRPr="0032110E" w14:paraId="3902729D" w14:textId="77777777" w:rsidTr="00CD4C72">
        <w:tc>
          <w:tcPr>
            <w:tcW w:w="4505" w:type="dxa"/>
          </w:tcPr>
          <w:p w14:paraId="77E649EA" w14:textId="2DB9F168"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English</w:t>
            </w:r>
          </w:p>
        </w:tc>
        <w:tc>
          <w:tcPr>
            <w:tcW w:w="4505" w:type="dxa"/>
          </w:tcPr>
          <w:p w14:paraId="58AE7D1C" w14:textId="256624E8"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H2</w:t>
            </w:r>
          </w:p>
        </w:tc>
      </w:tr>
      <w:tr w:rsidR="00CD4C72" w:rsidRPr="0032110E" w14:paraId="0A92D62C" w14:textId="77777777" w:rsidTr="00CD4C72">
        <w:tc>
          <w:tcPr>
            <w:tcW w:w="4505" w:type="dxa"/>
          </w:tcPr>
          <w:p w14:paraId="2DF3C9E7" w14:textId="40E5B0A5"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Art</w:t>
            </w:r>
          </w:p>
        </w:tc>
        <w:tc>
          <w:tcPr>
            <w:tcW w:w="4505" w:type="dxa"/>
          </w:tcPr>
          <w:p w14:paraId="7C9566BA" w14:textId="6543264C"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H2</w:t>
            </w:r>
          </w:p>
        </w:tc>
      </w:tr>
      <w:tr w:rsidR="00CD4C72" w:rsidRPr="0032110E" w14:paraId="0819E09A" w14:textId="77777777" w:rsidTr="00CD4C72">
        <w:tc>
          <w:tcPr>
            <w:tcW w:w="4505" w:type="dxa"/>
          </w:tcPr>
          <w:p w14:paraId="3E2F1F57" w14:textId="100A6344"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Classical Studies</w:t>
            </w:r>
          </w:p>
        </w:tc>
        <w:tc>
          <w:tcPr>
            <w:tcW w:w="4505" w:type="dxa"/>
          </w:tcPr>
          <w:p w14:paraId="30D21FC7" w14:textId="77BAAE0B"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H3</w:t>
            </w:r>
          </w:p>
        </w:tc>
      </w:tr>
      <w:tr w:rsidR="00CD4C72" w:rsidRPr="0032110E" w14:paraId="72B2AFED" w14:textId="77777777" w:rsidTr="00CD4C72">
        <w:tc>
          <w:tcPr>
            <w:tcW w:w="4505" w:type="dxa"/>
          </w:tcPr>
          <w:p w14:paraId="63CA161C" w14:textId="66DA8BE7"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History</w:t>
            </w:r>
          </w:p>
        </w:tc>
        <w:tc>
          <w:tcPr>
            <w:tcW w:w="4505" w:type="dxa"/>
          </w:tcPr>
          <w:p w14:paraId="5ABF29C7" w14:textId="03711487"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H3</w:t>
            </w:r>
          </w:p>
        </w:tc>
      </w:tr>
      <w:tr w:rsidR="00CD4C72" w:rsidRPr="0032110E" w14:paraId="179A447A" w14:textId="77777777" w:rsidTr="00CD4C72">
        <w:tc>
          <w:tcPr>
            <w:tcW w:w="4505" w:type="dxa"/>
          </w:tcPr>
          <w:p w14:paraId="4C1401DF" w14:textId="5B12FCF0"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German</w:t>
            </w:r>
          </w:p>
        </w:tc>
        <w:tc>
          <w:tcPr>
            <w:tcW w:w="4505" w:type="dxa"/>
          </w:tcPr>
          <w:p w14:paraId="36989BB5" w14:textId="4AE4367C" w:rsidR="00CD4C72"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H3</w:t>
            </w:r>
          </w:p>
        </w:tc>
      </w:tr>
      <w:tr w:rsidR="0032110E" w:rsidRPr="0032110E" w14:paraId="2C4DFD64" w14:textId="77777777" w:rsidTr="00CD4C72">
        <w:tc>
          <w:tcPr>
            <w:tcW w:w="4505" w:type="dxa"/>
          </w:tcPr>
          <w:p w14:paraId="6E32C45D" w14:textId="0FB4A8D5"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Maths</w:t>
            </w:r>
          </w:p>
        </w:tc>
        <w:tc>
          <w:tcPr>
            <w:tcW w:w="4505" w:type="dxa"/>
          </w:tcPr>
          <w:p w14:paraId="2CA40B30" w14:textId="03F31F94" w:rsidR="0032110E" w:rsidRPr="0032110E" w:rsidRDefault="0032110E" w:rsidP="00EF3221">
            <w:pPr>
              <w:jc w:val="both"/>
              <w:rPr>
                <w:rFonts w:ascii="Times New Roman" w:hAnsi="Times New Roman" w:cs="Times New Roman"/>
                <w:sz w:val="22"/>
                <w:szCs w:val="22"/>
              </w:rPr>
            </w:pPr>
            <w:r w:rsidRPr="0032110E">
              <w:rPr>
                <w:rFonts w:ascii="Times New Roman" w:hAnsi="Times New Roman" w:cs="Times New Roman"/>
                <w:sz w:val="22"/>
                <w:szCs w:val="22"/>
              </w:rPr>
              <w:t>H5</w:t>
            </w:r>
          </w:p>
        </w:tc>
      </w:tr>
    </w:tbl>
    <w:p w14:paraId="1EFA98DD" w14:textId="1441A802" w:rsidR="00CD4C72" w:rsidRPr="0032110E" w:rsidRDefault="00CD4C72" w:rsidP="00EF3221">
      <w:pPr>
        <w:jc w:val="both"/>
        <w:rPr>
          <w:rFonts w:ascii="Times New Roman" w:hAnsi="Times New Roman" w:cs="Times New Roman"/>
          <w:sz w:val="22"/>
          <w:szCs w:val="22"/>
        </w:rPr>
      </w:pPr>
    </w:p>
    <w:p w14:paraId="35D7043B" w14:textId="16909328" w:rsidR="00CD4C72" w:rsidRPr="0032110E" w:rsidRDefault="00CD4C72" w:rsidP="00EF3221">
      <w:pPr>
        <w:pBdr>
          <w:bottom w:val="single" w:sz="4" w:space="1" w:color="auto"/>
        </w:pBdr>
        <w:jc w:val="both"/>
        <w:rPr>
          <w:rFonts w:ascii="Times New Roman" w:hAnsi="Times New Roman" w:cs="Times New Roman"/>
          <w:b/>
          <w:bCs/>
          <w:sz w:val="22"/>
          <w:szCs w:val="22"/>
        </w:rPr>
      </w:pPr>
      <w:r w:rsidRPr="0032110E">
        <w:rPr>
          <w:rFonts w:ascii="Times New Roman" w:hAnsi="Times New Roman" w:cs="Times New Roman"/>
          <w:b/>
          <w:bCs/>
          <w:sz w:val="22"/>
          <w:szCs w:val="22"/>
        </w:rPr>
        <w:t xml:space="preserve">Relevant Work Experience </w:t>
      </w:r>
    </w:p>
    <w:p w14:paraId="436A2213" w14:textId="2801A0E3" w:rsidR="00CD4C72" w:rsidRPr="0032110E" w:rsidRDefault="00CD4C72" w:rsidP="00EF3221">
      <w:pPr>
        <w:jc w:val="both"/>
        <w:rPr>
          <w:rFonts w:ascii="Times New Roman" w:hAnsi="Times New Roman" w:cs="Times New Roman"/>
          <w:b/>
          <w:bCs/>
          <w:sz w:val="22"/>
          <w:szCs w:val="22"/>
        </w:rPr>
      </w:pPr>
      <w:r w:rsidRPr="0032110E">
        <w:rPr>
          <w:rFonts w:ascii="Times New Roman" w:hAnsi="Times New Roman" w:cs="Times New Roman"/>
          <w:b/>
          <w:bCs/>
          <w:sz w:val="22"/>
          <w:szCs w:val="22"/>
        </w:rPr>
        <w:t>Legal Support Specialist (IBM Ireland Limited)</w:t>
      </w:r>
    </w:p>
    <w:p w14:paraId="054619CE" w14:textId="224FD08E" w:rsidR="00CD4C72" w:rsidRPr="0032110E" w:rsidRDefault="00CD4C72" w:rsidP="00EF3221">
      <w:pPr>
        <w:jc w:val="both"/>
        <w:rPr>
          <w:rFonts w:ascii="Times New Roman" w:hAnsi="Times New Roman" w:cs="Times New Roman"/>
          <w:sz w:val="22"/>
          <w:szCs w:val="22"/>
        </w:rPr>
      </w:pPr>
      <w:r w:rsidRPr="0032110E">
        <w:rPr>
          <w:rFonts w:ascii="Times New Roman" w:hAnsi="Times New Roman" w:cs="Times New Roman"/>
          <w:sz w:val="22"/>
          <w:szCs w:val="22"/>
        </w:rPr>
        <w:t>June 2021 – January 2022</w:t>
      </w:r>
    </w:p>
    <w:p w14:paraId="6B009C25" w14:textId="4B67371E"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Developed my communication and collaboration skills by working in multiple teams including Irish and UK markets, Dutch market and Compliance and Enforcement Department;</w:t>
      </w:r>
    </w:p>
    <w:p w14:paraId="51BA461A" w14:textId="0F430C1A"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 xml:space="preserve">Assisted on the legal aspects relating to the spin-off of </w:t>
      </w:r>
      <w:proofErr w:type="spellStart"/>
      <w:r w:rsidRPr="0032110E">
        <w:rPr>
          <w:rFonts w:ascii="Times New Roman" w:hAnsi="Times New Roman" w:cs="Times New Roman"/>
          <w:sz w:val="22"/>
          <w:szCs w:val="22"/>
        </w:rPr>
        <w:t>Kyndryl</w:t>
      </w:r>
      <w:proofErr w:type="spellEnd"/>
      <w:r w:rsidRPr="0032110E">
        <w:rPr>
          <w:rFonts w:ascii="Times New Roman" w:hAnsi="Times New Roman" w:cs="Times New Roman"/>
          <w:sz w:val="22"/>
          <w:szCs w:val="22"/>
        </w:rPr>
        <w:t xml:space="preserve"> from IBM as an independent entity;</w:t>
      </w:r>
    </w:p>
    <w:p w14:paraId="1A33F88F" w14:textId="5EDC76E5"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Assisted in the development of a smart tool in the field of Legal Technology;</w:t>
      </w:r>
    </w:p>
    <w:p w14:paraId="25D488C3" w14:textId="29A0733A"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Expanded my time management skills by working under pressure to meet specific deadlines, both internal and external to IBM;</w:t>
      </w:r>
    </w:p>
    <w:p w14:paraId="0B715403" w14:textId="7B8C5134"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Generated, reviewed and amended Non-Disclosure Agreements for multi-million dollar deals;</w:t>
      </w:r>
    </w:p>
    <w:p w14:paraId="51143F83" w14:textId="524305C7"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Accompanied senior lawyers to meetings with clients where I took down minutes and contributed when I had additional insights on the deals discussed;</w:t>
      </w:r>
    </w:p>
    <w:p w14:paraId="70418D50" w14:textId="62D4A640"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Carried out risk assessments and reviews of Terms &amp; Conditions of various prospective deals between IBM and its clients;</w:t>
      </w:r>
    </w:p>
    <w:p w14:paraId="61C75E89" w14:textId="7EC35766"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lastRenderedPageBreak/>
        <w:t>Vetted Business Partners by conducting legal research using Thomson Reuters and other information based engines.</w:t>
      </w:r>
    </w:p>
    <w:p w14:paraId="26FCD6C6" w14:textId="4CC82100" w:rsidR="00CD4C72" w:rsidRPr="0032110E" w:rsidRDefault="00CD4C72" w:rsidP="00EF3221">
      <w:pPr>
        <w:pStyle w:val="ListBullet"/>
        <w:numPr>
          <w:ilvl w:val="0"/>
          <w:numId w:val="0"/>
        </w:numPr>
        <w:ind w:left="360" w:hanging="360"/>
        <w:jc w:val="both"/>
        <w:rPr>
          <w:rFonts w:ascii="Times New Roman" w:hAnsi="Times New Roman" w:cs="Times New Roman"/>
          <w:sz w:val="22"/>
          <w:szCs w:val="22"/>
        </w:rPr>
      </w:pPr>
    </w:p>
    <w:p w14:paraId="34A6EA3F" w14:textId="6EBCBB36" w:rsidR="00CD4C72" w:rsidRPr="0032110E" w:rsidRDefault="00CD4C72" w:rsidP="00EF3221">
      <w:pPr>
        <w:pStyle w:val="ListBullet"/>
        <w:numPr>
          <w:ilvl w:val="0"/>
          <w:numId w:val="0"/>
        </w:numPr>
        <w:pBdr>
          <w:bottom w:val="single" w:sz="4" w:space="1" w:color="auto"/>
        </w:pBd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Other Work Experience</w:t>
      </w:r>
    </w:p>
    <w:p w14:paraId="596706D1" w14:textId="78AADB9D" w:rsidR="00CD4C72" w:rsidRPr="0032110E" w:rsidRDefault="00CD4C72" w:rsidP="00EF3221">
      <w:pPr>
        <w:pStyle w:val="ListBullet"/>
        <w:numPr>
          <w:ilvl w:val="0"/>
          <w:numId w:val="0"/>
        </w:numP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Front of House Receptionist (DB Schenker Ireland)</w:t>
      </w:r>
    </w:p>
    <w:p w14:paraId="4DB7FFE9" w14:textId="663C66BA" w:rsidR="00CD4C72" w:rsidRPr="0032110E" w:rsidRDefault="00CD4C72" w:rsidP="00EF3221">
      <w:pPr>
        <w:pStyle w:val="ListBullet"/>
        <w:numPr>
          <w:ilvl w:val="0"/>
          <w:numId w:val="0"/>
        </w:numPr>
        <w:ind w:left="360" w:hanging="360"/>
        <w:jc w:val="both"/>
        <w:rPr>
          <w:rFonts w:ascii="Times New Roman" w:hAnsi="Times New Roman" w:cs="Times New Roman"/>
          <w:sz w:val="22"/>
          <w:szCs w:val="22"/>
        </w:rPr>
      </w:pPr>
      <w:r w:rsidRPr="0032110E">
        <w:rPr>
          <w:rFonts w:ascii="Times New Roman" w:hAnsi="Times New Roman" w:cs="Times New Roman"/>
          <w:sz w:val="22"/>
          <w:szCs w:val="22"/>
        </w:rPr>
        <w:t>April 2022 – September 2022</w:t>
      </w:r>
    </w:p>
    <w:p w14:paraId="363DE036" w14:textId="33617D1B"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Managed all of the incoming phone calls in a professional and courteous manner to all of DB Schenker offices in Ireland, answered and assisted with up to 50 calls a day;</w:t>
      </w:r>
    </w:p>
    <w:p w14:paraId="3E094C7A" w14:textId="1106F7A8"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Responsible for administrative work, such as filing documents and bank statements, distributing post to the correct departments and ordering stationery supplies for the office;</w:t>
      </w:r>
    </w:p>
    <w:p w14:paraId="53579417" w14:textId="2F4503AE"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Prepared the boardrooms for meetings, organised catering and ensured the guests had a superb experience on site;</w:t>
      </w:r>
    </w:p>
    <w:p w14:paraId="05AAEF39" w14:textId="0F36FA71"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Controlled who entered the premises by abiding the Compliance Policies and Procedures of the company.</w:t>
      </w:r>
    </w:p>
    <w:p w14:paraId="4B326E02" w14:textId="68B31BF7" w:rsidR="00CD4C72" w:rsidRPr="0032110E" w:rsidRDefault="00CD4C72" w:rsidP="00EF3221">
      <w:pPr>
        <w:pStyle w:val="ListBullet"/>
        <w:numPr>
          <w:ilvl w:val="0"/>
          <w:numId w:val="0"/>
        </w:numPr>
        <w:ind w:left="360" w:hanging="360"/>
        <w:jc w:val="both"/>
        <w:rPr>
          <w:rFonts w:ascii="Times New Roman" w:hAnsi="Times New Roman" w:cs="Times New Roman"/>
          <w:sz w:val="22"/>
          <w:szCs w:val="22"/>
        </w:rPr>
      </w:pPr>
    </w:p>
    <w:p w14:paraId="3A44B962" w14:textId="513CEC2D" w:rsidR="00CD4C72" w:rsidRPr="0032110E" w:rsidRDefault="00CD4C72" w:rsidP="00EF3221">
      <w:pPr>
        <w:pStyle w:val="ListBullet"/>
        <w:numPr>
          <w:ilvl w:val="0"/>
          <w:numId w:val="0"/>
        </w:numPr>
        <w:pBdr>
          <w:bottom w:val="single" w:sz="4" w:space="1" w:color="auto"/>
        </w:pBd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Positions of Responsibility</w:t>
      </w:r>
    </w:p>
    <w:p w14:paraId="1BE54995" w14:textId="696CA411" w:rsidR="00CD4C72" w:rsidRPr="00EB39CD" w:rsidRDefault="00CD4C72" w:rsidP="00EF3221">
      <w:pPr>
        <w:pStyle w:val="ListBullet"/>
        <w:numPr>
          <w:ilvl w:val="0"/>
          <w:numId w:val="0"/>
        </w:numPr>
        <w:ind w:left="360" w:hanging="360"/>
        <w:jc w:val="both"/>
        <w:rPr>
          <w:rFonts w:ascii="Times New Roman" w:hAnsi="Times New Roman" w:cs="Times New Roman"/>
          <w:b/>
          <w:bCs/>
          <w:sz w:val="22"/>
          <w:szCs w:val="22"/>
        </w:rPr>
      </w:pPr>
      <w:r w:rsidRPr="00EB39CD">
        <w:rPr>
          <w:rFonts w:ascii="Times New Roman" w:hAnsi="Times New Roman" w:cs="Times New Roman"/>
          <w:b/>
          <w:bCs/>
          <w:sz w:val="22"/>
          <w:szCs w:val="22"/>
        </w:rPr>
        <w:t>Secretary of the European Law Students Association (ELSA) DCU (2022/2023)</w:t>
      </w:r>
    </w:p>
    <w:p w14:paraId="07DF0BB4" w14:textId="55731F93"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Communicated with guest speakers for ELSA events and contacted other DCU societies for proposed joint society events;</w:t>
      </w:r>
    </w:p>
    <w:p w14:paraId="3C8F33FA" w14:textId="7E4AB058"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Cooperated with ELSA Ireland and ELSA International with regards to ensuring that ELSA DCU maintains the appropriate image as part of the ELSA organisation;</w:t>
      </w:r>
    </w:p>
    <w:p w14:paraId="125C20D9" w14:textId="4CDA7B0B"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Liaised with ELSA Ireland, DCU Clubs and Socs and the ELSA DCU committee to propose and prepare a payment plan which covers repayment of 3 years’ worth of legacy debt;</w:t>
      </w:r>
    </w:p>
    <w:p w14:paraId="74AF4336" w14:textId="4BBC8206" w:rsidR="00CD4C72" w:rsidRPr="0032110E" w:rsidRDefault="00CD4C72"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Attended events organised by the Calcutta Run organisation with the aim of bringing awareness of the charity to law students on the DCU campus.</w:t>
      </w:r>
    </w:p>
    <w:p w14:paraId="19D4FDFE" w14:textId="1B20BCA3" w:rsidR="00CD4C72" w:rsidRPr="00EB39CD" w:rsidRDefault="00CD4C72" w:rsidP="00EF3221">
      <w:pPr>
        <w:pStyle w:val="ListBullet"/>
        <w:numPr>
          <w:ilvl w:val="0"/>
          <w:numId w:val="0"/>
        </w:numPr>
        <w:ind w:left="360" w:hanging="360"/>
        <w:jc w:val="both"/>
        <w:rPr>
          <w:rFonts w:ascii="Times New Roman" w:hAnsi="Times New Roman" w:cs="Times New Roman"/>
          <w:b/>
          <w:bCs/>
          <w:sz w:val="22"/>
          <w:szCs w:val="22"/>
        </w:rPr>
      </w:pPr>
    </w:p>
    <w:p w14:paraId="51F17801" w14:textId="599988B1" w:rsidR="00CD4C72" w:rsidRPr="00EB39CD" w:rsidRDefault="0032110E" w:rsidP="00EF3221">
      <w:pPr>
        <w:pStyle w:val="ListBullet"/>
        <w:numPr>
          <w:ilvl w:val="0"/>
          <w:numId w:val="0"/>
        </w:numPr>
        <w:ind w:left="360" w:hanging="360"/>
        <w:jc w:val="both"/>
        <w:rPr>
          <w:rFonts w:ascii="Times New Roman" w:hAnsi="Times New Roman" w:cs="Times New Roman"/>
          <w:b/>
          <w:bCs/>
          <w:sz w:val="22"/>
          <w:szCs w:val="22"/>
        </w:rPr>
      </w:pPr>
      <w:r w:rsidRPr="00EB39CD">
        <w:rPr>
          <w:rFonts w:ascii="Times New Roman" w:hAnsi="Times New Roman" w:cs="Times New Roman"/>
          <w:b/>
          <w:bCs/>
          <w:sz w:val="22"/>
          <w:szCs w:val="22"/>
        </w:rPr>
        <w:t>Class Representative (2019/2020)</w:t>
      </w:r>
    </w:p>
    <w:p w14:paraId="721DDC25" w14:textId="7183F94F" w:rsidR="0032110E" w:rsidRPr="0032110E" w:rsidRDefault="0032110E"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Collaborated with other class representatives to ensure that the students felt included and happy with their first year of college experience, particularly during the transition to remote learning due to COVID-19;</w:t>
      </w:r>
    </w:p>
    <w:p w14:paraId="645CD587" w14:textId="09CA4A7A" w:rsidR="0032110E" w:rsidRPr="0032110E" w:rsidRDefault="0032110E"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Reported ant issues faced by the students to the Programme Chair and sought a resolution which was beneficial both for the students and the college.</w:t>
      </w:r>
    </w:p>
    <w:p w14:paraId="3097DC60" w14:textId="4CEE0F3D"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p>
    <w:p w14:paraId="63CB721F" w14:textId="60030547" w:rsidR="0032110E" w:rsidRPr="0032110E" w:rsidRDefault="0032110E" w:rsidP="00EF3221">
      <w:pPr>
        <w:pStyle w:val="ListBullet"/>
        <w:numPr>
          <w:ilvl w:val="0"/>
          <w:numId w:val="0"/>
        </w:numPr>
        <w:pBdr>
          <w:bottom w:val="single" w:sz="4" w:space="1" w:color="auto"/>
        </w:pBd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 xml:space="preserve">Extracurricular Activities </w:t>
      </w:r>
    </w:p>
    <w:p w14:paraId="6EEE68B4" w14:textId="047989F1"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r w:rsidRPr="0032110E">
        <w:rPr>
          <w:rFonts w:ascii="Times New Roman" w:hAnsi="Times New Roman" w:cs="Times New Roman"/>
          <w:sz w:val="22"/>
          <w:szCs w:val="22"/>
        </w:rPr>
        <w:t>100k for Laura Lynn Children’s Hospice 2022</w:t>
      </w:r>
    </w:p>
    <w:p w14:paraId="45AD9E1E" w14:textId="5A35332E"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r w:rsidRPr="0032110E">
        <w:rPr>
          <w:rFonts w:ascii="Times New Roman" w:hAnsi="Times New Roman" w:cs="Times New Roman"/>
          <w:sz w:val="22"/>
          <w:szCs w:val="22"/>
        </w:rPr>
        <w:t>SLSUCD Negotiation Competition 2022</w:t>
      </w:r>
    </w:p>
    <w:p w14:paraId="45F95044" w14:textId="61F146AE"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r w:rsidRPr="0032110E">
        <w:rPr>
          <w:rFonts w:ascii="Times New Roman" w:hAnsi="Times New Roman" w:cs="Times New Roman"/>
          <w:sz w:val="22"/>
          <w:szCs w:val="22"/>
        </w:rPr>
        <w:t>Arthur Cox Accelerate Programme</w:t>
      </w:r>
    </w:p>
    <w:p w14:paraId="00317E32" w14:textId="3A1EB6A6"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r w:rsidRPr="0032110E">
        <w:rPr>
          <w:rFonts w:ascii="Times New Roman" w:hAnsi="Times New Roman" w:cs="Times New Roman"/>
          <w:sz w:val="22"/>
          <w:szCs w:val="22"/>
        </w:rPr>
        <w:t>Criminal Moot Court 2019</w:t>
      </w:r>
    </w:p>
    <w:p w14:paraId="4751CAF5" w14:textId="27E3EBE0"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p>
    <w:p w14:paraId="6DDCC62A" w14:textId="2E38AFC4" w:rsidR="0032110E" w:rsidRPr="0032110E" w:rsidRDefault="0032110E" w:rsidP="00EF3221">
      <w:pPr>
        <w:pStyle w:val="ListBullet"/>
        <w:numPr>
          <w:ilvl w:val="0"/>
          <w:numId w:val="0"/>
        </w:numPr>
        <w:pBdr>
          <w:bottom w:val="single" w:sz="4" w:space="1" w:color="auto"/>
        </w:pBd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 xml:space="preserve">Interests and Hobbies </w:t>
      </w:r>
    </w:p>
    <w:p w14:paraId="43A1B1BA" w14:textId="6B1C8E87" w:rsidR="0032110E" w:rsidRPr="0032110E" w:rsidRDefault="0032110E"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Reading</w:t>
      </w:r>
    </w:p>
    <w:p w14:paraId="4194B0BA" w14:textId="2D7318DF" w:rsidR="0032110E" w:rsidRPr="0032110E" w:rsidRDefault="0032110E"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Arts and crafts</w:t>
      </w:r>
    </w:p>
    <w:p w14:paraId="338DF489" w14:textId="4C2D2D25" w:rsidR="0032110E" w:rsidRPr="0032110E" w:rsidRDefault="0032110E" w:rsidP="00EF3221">
      <w:pPr>
        <w:pStyle w:val="ListBullet"/>
        <w:jc w:val="both"/>
        <w:rPr>
          <w:rFonts w:ascii="Times New Roman" w:hAnsi="Times New Roman" w:cs="Times New Roman"/>
          <w:sz w:val="22"/>
          <w:szCs w:val="22"/>
        </w:rPr>
      </w:pPr>
      <w:r w:rsidRPr="0032110E">
        <w:rPr>
          <w:rFonts w:ascii="Times New Roman" w:hAnsi="Times New Roman" w:cs="Times New Roman"/>
          <w:sz w:val="22"/>
          <w:szCs w:val="22"/>
        </w:rPr>
        <w:t>Owner of a small business on ETSY which specialises in personalised stationery</w:t>
      </w:r>
    </w:p>
    <w:p w14:paraId="7C29D1C2" w14:textId="6B610033" w:rsidR="0032110E" w:rsidRPr="0032110E" w:rsidRDefault="0032110E" w:rsidP="00EF3221">
      <w:pPr>
        <w:pStyle w:val="ListBullet"/>
        <w:numPr>
          <w:ilvl w:val="0"/>
          <w:numId w:val="0"/>
        </w:numPr>
        <w:ind w:left="360" w:hanging="360"/>
        <w:jc w:val="both"/>
        <w:rPr>
          <w:rFonts w:ascii="Times New Roman" w:hAnsi="Times New Roman" w:cs="Times New Roman"/>
          <w:b/>
          <w:bCs/>
          <w:sz w:val="22"/>
          <w:szCs w:val="22"/>
        </w:rPr>
      </w:pPr>
    </w:p>
    <w:p w14:paraId="0351A722" w14:textId="0DA85587" w:rsidR="0032110E" w:rsidRPr="0032110E" w:rsidRDefault="0032110E" w:rsidP="00EF3221">
      <w:pPr>
        <w:pStyle w:val="ListBullet"/>
        <w:numPr>
          <w:ilvl w:val="0"/>
          <w:numId w:val="0"/>
        </w:numPr>
        <w:pBdr>
          <w:bottom w:val="single" w:sz="4" w:space="1" w:color="auto"/>
        </w:pBdr>
        <w:ind w:left="360" w:hanging="360"/>
        <w:jc w:val="both"/>
        <w:rPr>
          <w:rFonts w:ascii="Times New Roman" w:hAnsi="Times New Roman" w:cs="Times New Roman"/>
          <w:b/>
          <w:bCs/>
          <w:sz w:val="22"/>
          <w:szCs w:val="22"/>
        </w:rPr>
      </w:pPr>
      <w:r w:rsidRPr="0032110E">
        <w:rPr>
          <w:rFonts w:ascii="Times New Roman" w:hAnsi="Times New Roman" w:cs="Times New Roman"/>
          <w:b/>
          <w:bCs/>
          <w:sz w:val="22"/>
          <w:szCs w:val="22"/>
        </w:rPr>
        <w:t>Languages</w:t>
      </w:r>
    </w:p>
    <w:tbl>
      <w:tblPr>
        <w:tblStyle w:val="TableGrid"/>
        <w:tblW w:w="0" w:type="auto"/>
        <w:tblInd w:w="-5" w:type="dxa"/>
        <w:tblLook w:val="04A0" w:firstRow="1" w:lastRow="0" w:firstColumn="1" w:lastColumn="0" w:noHBand="0" w:noVBand="1"/>
      </w:tblPr>
      <w:tblGrid>
        <w:gridCol w:w="4536"/>
        <w:gridCol w:w="4479"/>
      </w:tblGrid>
      <w:tr w:rsidR="0032110E" w:rsidRPr="0032110E" w14:paraId="24E75C33" w14:textId="77777777" w:rsidTr="00A31A88">
        <w:tc>
          <w:tcPr>
            <w:tcW w:w="4536" w:type="dxa"/>
          </w:tcPr>
          <w:p w14:paraId="0D64533B" w14:textId="6C500FA9"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Polish</w:t>
            </w:r>
          </w:p>
        </w:tc>
        <w:tc>
          <w:tcPr>
            <w:tcW w:w="4479" w:type="dxa"/>
          </w:tcPr>
          <w:p w14:paraId="5CD9A6F8" w14:textId="58967D17"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Mother tongue</w:t>
            </w:r>
          </w:p>
        </w:tc>
      </w:tr>
      <w:tr w:rsidR="0032110E" w:rsidRPr="0032110E" w14:paraId="4688790C" w14:textId="77777777" w:rsidTr="00A31A88">
        <w:tc>
          <w:tcPr>
            <w:tcW w:w="4536" w:type="dxa"/>
          </w:tcPr>
          <w:p w14:paraId="5AC8DDC7" w14:textId="1858B41B"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English</w:t>
            </w:r>
          </w:p>
        </w:tc>
        <w:tc>
          <w:tcPr>
            <w:tcW w:w="4479" w:type="dxa"/>
          </w:tcPr>
          <w:p w14:paraId="66F0FF8C" w14:textId="316E8FA0"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Fluent</w:t>
            </w:r>
          </w:p>
        </w:tc>
      </w:tr>
      <w:tr w:rsidR="0032110E" w:rsidRPr="0032110E" w14:paraId="1C420DD3" w14:textId="77777777" w:rsidTr="00A31A88">
        <w:tc>
          <w:tcPr>
            <w:tcW w:w="4536" w:type="dxa"/>
          </w:tcPr>
          <w:p w14:paraId="7C989D5E" w14:textId="74EFC8BF"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 xml:space="preserve">German </w:t>
            </w:r>
          </w:p>
        </w:tc>
        <w:tc>
          <w:tcPr>
            <w:tcW w:w="4479" w:type="dxa"/>
          </w:tcPr>
          <w:p w14:paraId="05DA2174" w14:textId="6E034F2C" w:rsidR="0032110E" w:rsidRPr="0032110E" w:rsidRDefault="0032110E" w:rsidP="00EF3221">
            <w:pPr>
              <w:pStyle w:val="ListBullet"/>
              <w:numPr>
                <w:ilvl w:val="0"/>
                <w:numId w:val="0"/>
              </w:numPr>
              <w:jc w:val="both"/>
              <w:rPr>
                <w:rFonts w:ascii="Times New Roman" w:hAnsi="Times New Roman" w:cs="Times New Roman"/>
                <w:sz w:val="22"/>
                <w:szCs w:val="22"/>
              </w:rPr>
            </w:pPr>
            <w:r w:rsidRPr="0032110E">
              <w:rPr>
                <w:rFonts w:ascii="Times New Roman" w:hAnsi="Times New Roman" w:cs="Times New Roman"/>
                <w:sz w:val="22"/>
                <w:szCs w:val="22"/>
              </w:rPr>
              <w:t>Communicative</w:t>
            </w:r>
          </w:p>
        </w:tc>
      </w:tr>
    </w:tbl>
    <w:p w14:paraId="0DE5D045" w14:textId="77777777" w:rsidR="0032110E" w:rsidRPr="0032110E" w:rsidRDefault="0032110E" w:rsidP="00EF3221">
      <w:pPr>
        <w:pStyle w:val="ListBullet"/>
        <w:numPr>
          <w:ilvl w:val="0"/>
          <w:numId w:val="0"/>
        </w:numPr>
        <w:ind w:left="360" w:hanging="360"/>
        <w:jc w:val="both"/>
        <w:rPr>
          <w:rFonts w:ascii="Times New Roman" w:hAnsi="Times New Roman" w:cs="Times New Roman"/>
          <w:sz w:val="22"/>
          <w:szCs w:val="22"/>
        </w:rPr>
      </w:pPr>
    </w:p>
    <w:sectPr w:rsidR="0032110E" w:rsidRPr="0032110E" w:rsidSect="00FD77D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8FCA" w14:textId="77777777" w:rsidR="00CA4364" w:rsidRDefault="00CA4364" w:rsidP="00CD4C72">
      <w:r>
        <w:separator/>
      </w:r>
    </w:p>
  </w:endnote>
  <w:endnote w:type="continuationSeparator" w:id="0">
    <w:p w14:paraId="7A9E9362" w14:textId="77777777" w:rsidR="00CA4364" w:rsidRDefault="00CA4364" w:rsidP="00C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8B83" w14:textId="77777777" w:rsidR="00CA4364" w:rsidRDefault="00CA4364" w:rsidP="00CD4C72">
      <w:r>
        <w:separator/>
      </w:r>
    </w:p>
  </w:footnote>
  <w:footnote w:type="continuationSeparator" w:id="0">
    <w:p w14:paraId="79AFF410" w14:textId="77777777" w:rsidR="00CA4364" w:rsidRDefault="00CA4364" w:rsidP="00CD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3C4A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BA851DE"/>
    <w:multiLevelType w:val="multilevel"/>
    <w:tmpl w:val="0409001D"/>
    <w:styleLink w:val="CarinasNote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8414984">
    <w:abstractNumId w:val="1"/>
  </w:num>
  <w:num w:numId="2" w16cid:durableId="195116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72"/>
    <w:rsid w:val="002E742A"/>
    <w:rsid w:val="0032110E"/>
    <w:rsid w:val="003C1C5A"/>
    <w:rsid w:val="004F12AF"/>
    <w:rsid w:val="005664FC"/>
    <w:rsid w:val="007C1BB0"/>
    <w:rsid w:val="00A31A88"/>
    <w:rsid w:val="00B243C3"/>
    <w:rsid w:val="00B505F6"/>
    <w:rsid w:val="00CA4364"/>
    <w:rsid w:val="00CD4C72"/>
    <w:rsid w:val="00CE3626"/>
    <w:rsid w:val="00D67BE6"/>
    <w:rsid w:val="00E11C82"/>
    <w:rsid w:val="00EB39CD"/>
    <w:rsid w:val="00EF3221"/>
    <w:rsid w:val="00F93B3C"/>
    <w:rsid w:val="00F94CD7"/>
    <w:rsid w:val="00FD7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FBA2"/>
  <w15:chartTrackingRefBased/>
  <w15:docId w15:val="{4F4BB791-9484-6343-A171-D88B96FE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rinasNotes">
    <w:name w:val="Carina's Notes"/>
    <w:uiPriority w:val="99"/>
    <w:rsid w:val="00F93B3C"/>
    <w:pPr>
      <w:numPr>
        <w:numId w:val="1"/>
      </w:numPr>
    </w:pPr>
  </w:style>
  <w:style w:type="paragraph" w:styleId="Header">
    <w:name w:val="header"/>
    <w:basedOn w:val="Normal"/>
    <w:link w:val="HeaderChar"/>
    <w:uiPriority w:val="99"/>
    <w:unhideWhenUsed/>
    <w:rsid w:val="00CD4C72"/>
    <w:pPr>
      <w:tabs>
        <w:tab w:val="center" w:pos="4680"/>
        <w:tab w:val="right" w:pos="9360"/>
      </w:tabs>
    </w:pPr>
  </w:style>
  <w:style w:type="character" w:customStyle="1" w:styleId="HeaderChar">
    <w:name w:val="Header Char"/>
    <w:basedOn w:val="DefaultParagraphFont"/>
    <w:link w:val="Header"/>
    <w:uiPriority w:val="99"/>
    <w:rsid w:val="00CD4C72"/>
  </w:style>
  <w:style w:type="paragraph" w:styleId="Footer">
    <w:name w:val="footer"/>
    <w:basedOn w:val="Normal"/>
    <w:link w:val="FooterChar"/>
    <w:uiPriority w:val="99"/>
    <w:unhideWhenUsed/>
    <w:rsid w:val="00CD4C72"/>
    <w:pPr>
      <w:tabs>
        <w:tab w:val="center" w:pos="4680"/>
        <w:tab w:val="right" w:pos="9360"/>
      </w:tabs>
    </w:pPr>
  </w:style>
  <w:style w:type="character" w:customStyle="1" w:styleId="FooterChar">
    <w:name w:val="Footer Char"/>
    <w:basedOn w:val="DefaultParagraphFont"/>
    <w:link w:val="Footer"/>
    <w:uiPriority w:val="99"/>
    <w:rsid w:val="00CD4C72"/>
  </w:style>
  <w:style w:type="character" w:styleId="Hyperlink">
    <w:name w:val="Hyperlink"/>
    <w:basedOn w:val="DefaultParagraphFont"/>
    <w:uiPriority w:val="99"/>
    <w:unhideWhenUsed/>
    <w:rsid w:val="00CD4C72"/>
    <w:rPr>
      <w:color w:val="0563C1" w:themeColor="hyperlink"/>
      <w:u w:val="single"/>
    </w:rPr>
  </w:style>
  <w:style w:type="character" w:styleId="UnresolvedMention">
    <w:name w:val="Unresolved Mention"/>
    <w:basedOn w:val="DefaultParagraphFont"/>
    <w:uiPriority w:val="99"/>
    <w:semiHidden/>
    <w:unhideWhenUsed/>
    <w:rsid w:val="00CD4C72"/>
    <w:rPr>
      <w:color w:val="605E5C"/>
      <w:shd w:val="clear" w:color="auto" w:fill="E1DFDD"/>
    </w:rPr>
  </w:style>
  <w:style w:type="table" w:styleId="TableGrid">
    <w:name w:val="Table Grid"/>
    <w:basedOn w:val="TableNormal"/>
    <w:uiPriority w:val="39"/>
    <w:rsid w:val="00CD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D4C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na.gaszewska2@mail.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Gaszewska</dc:creator>
  <cp:keywords/>
  <dc:description/>
  <cp:lastModifiedBy>Karina Gaszewska</cp:lastModifiedBy>
  <cp:revision>2</cp:revision>
  <dcterms:created xsi:type="dcterms:W3CDTF">2023-02-19T22:08:00Z</dcterms:created>
  <dcterms:modified xsi:type="dcterms:W3CDTF">2023-02-19T22:08:00Z</dcterms:modified>
</cp:coreProperties>
</file>