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998" w:firstLine="0"/>
        <w:jc w:val="center"/>
        <w:rPr>
          <w:rFonts w:ascii="Verdana" w:cs="Verdana" w:hAnsi="Verdana" w:eastAsia="Verdana"/>
          <w:b w:val="1"/>
          <w:bCs w:val="1"/>
          <w:sz w:val="30"/>
          <w:szCs w:val="30"/>
          <w:u w:val="single"/>
          <w:rtl w:val="0"/>
        </w:rPr>
      </w:pPr>
      <w:r>
        <w:rPr>
          <w:rFonts w:ascii="Verdana" w:hAnsi="Verdana"/>
          <w:b w:val="1"/>
          <w:bCs w:val="1"/>
          <w:sz w:val="30"/>
          <w:szCs w:val="30"/>
          <w:u w:val="single"/>
          <w:rtl w:val="0"/>
        </w:rPr>
        <w:t>ABHINAV PUNJ</w:t>
      </w:r>
    </w:p>
    <w:p>
      <w:pPr>
        <w:pStyle w:val="Default"/>
        <w:bidi w:val="0"/>
        <w:ind w:left="0" w:right="998" w:firstLine="0"/>
        <w:jc w:val="center"/>
        <w:rPr>
          <w:rFonts w:ascii="Verdana" w:cs="Verdana" w:hAnsi="Verdana" w:eastAsia="Verdana"/>
          <w:sz w:val="24"/>
          <w:szCs w:val="24"/>
          <w:rtl w:val="0"/>
        </w:rPr>
      </w:pPr>
    </w:p>
    <w:p>
      <w:pPr>
        <w:pStyle w:val="Default"/>
        <w:bidi w:val="0"/>
        <w:ind w:left="0" w:right="998" w:firstLine="0"/>
        <w:jc w:val="center"/>
        <w:rPr>
          <w:rFonts w:ascii="Verdana" w:cs="Verdana" w:hAnsi="Verdana" w:eastAsia="Verdana"/>
          <w:b w:val="1"/>
          <w:bCs w:val="1"/>
          <w:sz w:val="24"/>
          <w:szCs w:val="24"/>
          <w:u w:val="single"/>
          <w:rtl w:val="0"/>
        </w:rPr>
      </w:pPr>
      <w:r>
        <w:rPr>
          <w:rFonts w:ascii="Verdana" w:hAnsi="Verdana"/>
          <w:b w:val="1"/>
          <w:bCs w:val="1"/>
          <w:sz w:val="24"/>
          <w:szCs w:val="24"/>
          <w:u w:val="single"/>
          <w:rtl w:val="0"/>
          <w:lang w:val="en-US"/>
        </w:rPr>
        <w:t>Contact Details:</w:t>
      </w:r>
    </w:p>
    <w:p>
      <w:pPr>
        <w:pStyle w:val="Default"/>
        <w:tabs>
          <w:tab w:val="left" w:pos="1530"/>
        </w:tabs>
        <w:bidi w:val="0"/>
        <w:spacing w:line="360" w:lineRule="auto"/>
        <w:ind w:left="0" w:right="998" w:firstLine="0"/>
        <w:jc w:val="center"/>
        <w:rPr>
          <w:rFonts w:ascii="Verdana" w:cs="Verdana" w:hAnsi="Verdana" w:eastAsia="Verdana"/>
          <w:b w:val="1"/>
          <w:bCs w:val="1"/>
          <w:rtl w:val="0"/>
        </w:rPr>
      </w:pPr>
    </w:p>
    <w:p>
      <w:pPr>
        <w:pStyle w:val="Default"/>
        <w:tabs>
          <w:tab w:val="left" w:pos="1530"/>
        </w:tabs>
        <w:bidi w:val="0"/>
        <w:spacing w:line="360" w:lineRule="auto"/>
        <w:ind w:left="0" w:right="998" w:firstLine="0"/>
        <w:jc w:val="center"/>
        <w:rPr>
          <w:rFonts w:ascii="Verdana" w:cs="Verdana" w:hAnsi="Verdana" w:eastAsia="Verdana"/>
          <w:b w:val="1"/>
          <w:bCs w:val="1"/>
          <w:rtl w:val="0"/>
        </w:rPr>
      </w:pPr>
      <w:r>
        <w:rPr>
          <w:rFonts w:ascii="Verdana" w:hAnsi="Verdana"/>
          <w:b w:val="1"/>
          <w:bCs w:val="1"/>
          <w:rtl w:val="0"/>
          <w:lang w:val="en-US"/>
        </w:rPr>
        <w:t>Address: 11, Anglesea House, Ballsbridge Court, Ballsbridge, Dublin-4.</w:t>
      </w:r>
    </w:p>
    <w:p>
      <w:pPr>
        <w:pStyle w:val="Default"/>
        <w:tabs>
          <w:tab w:val="left" w:pos="1530"/>
        </w:tabs>
        <w:bidi w:val="0"/>
        <w:spacing w:line="360" w:lineRule="auto"/>
        <w:ind w:left="0" w:right="998" w:firstLine="0"/>
        <w:jc w:val="left"/>
        <w:rPr>
          <w:rFonts w:ascii="Verdana" w:cs="Verdana" w:hAnsi="Verdana" w:eastAsia="Verdana"/>
          <w:b w:val="1"/>
          <w:bCs w:val="1"/>
          <w:rtl w:val="0"/>
        </w:rPr>
      </w:pPr>
      <w:r>
        <w:rPr>
          <w:rFonts w:ascii="Verdana" w:hAnsi="Verdana"/>
          <w:b w:val="1"/>
          <w:bCs w:val="1"/>
          <w:rtl w:val="0"/>
        </w:rPr>
        <w:t xml:space="preserve">Email: </w:t>
      </w:r>
      <w:r>
        <w:rPr>
          <w:rStyle w:val="Hyperlink.0"/>
          <w:rFonts w:ascii="Verdana" w:cs="Verdana" w:hAnsi="Verdana" w:eastAsia="Verdana"/>
          <w:b w:val="1"/>
          <w:bCs w:val="1"/>
          <w:rtl w:val="0"/>
        </w:rPr>
        <w:fldChar w:fldCharType="begin" w:fldLock="0"/>
      </w:r>
      <w:r>
        <w:rPr>
          <w:rStyle w:val="Hyperlink.0"/>
          <w:rFonts w:ascii="Verdana" w:cs="Verdana" w:hAnsi="Verdana" w:eastAsia="Verdana"/>
          <w:b w:val="1"/>
          <w:bCs w:val="1"/>
          <w:rtl w:val="0"/>
        </w:rPr>
        <w:instrText xml:space="preserve"> HYPERLINK "mailto:abhinav.punj@yahoo.in"</w:instrText>
      </w:r>
      <w:r>
        <w:rPr>
          <w:rStyle w:val="Hyperlink.0"/>
          <w:rFonts w:ascii="Verdana" w:cs="Verdana" w:hAnsi="Verdana" w:eastAsia="Verdana"/>
          <w:b w:val="1"/>
          <w:bCs w:val="1"/>
          <w:rtl w:val="0"/>
        </w:rPr>
        <w:fldChar w:fldCharType="separate" w:fldLock="0"/>
      </w:r>
      <w:r>
        <w:rPr>
          <w:rStyle w:val="Hyperlink.0"/>
          <w:rFonts w:ascii="Verdana" w:hAnsi="Verdana"/>
          <w:b w:val="1"/>
          <w:bCs w:val="1"/>
          <w:rtl w:val="0"/>
        </w:rPr>
        <w:t>abhinav.punj@yahoo.in</w:t>
      </w:r>
      <w:r>
        <w:rPr>
          <w:rFonts w:ascii="Verdana" w:cs="Verdana" w:hAnsi="Verdana" w:eastAsia="Verdana"/>
          <w:b w:val="1"/>
          <w:bCs w:val="1"/>
          <w:rtl w:val="0"/>
        </w:rPr>
        <w:fldChar w:fldCharType="end" w:fldLock="0"/>
      </w:r>
      <w:r>
        <w:rPr>
          <w:rFonts w:ascii="Verdana" w:cs="Verdana" w:hAnsi="Verdana" w:eastAsia="Verdana"/>
          <w:b w:val="1"/>
          <w:bCs w:val="1"/>
          <w:rtl w:val="0"/>
          <w:lang w:val="en-US"/>
        </w:rPr>
        <w:tab/>
        <w:tab/>
        <w:t>M.NO: +353899507454</w:t>
      </w:r>
    </w:p>
    <w:p>
      <w:pPr>
        <w:pStyle w:val="Default"/>
        <w:tabs>
          <w:tab w:val="left" w:pos="1530"/>
        </w:tabs>
        <w:bidi w:val="0"/>
        <w:spacing w:line="360" w:lineRule="auto"/>
        <w:ind w:left="0" w:right="998" w:firstLine="0"/>
        <w:jc w:val="center"/>
        <w:rPr>
          <w:rFonts w:ascii="Verdana" w:cs="Verdana" w:hAnsi="Verdana" w:eastAsia="Verdana"/>
          <w:rtl w:val="0"/>
        </w:rPr>
      </w:pPr>
    </w:p>
    <w:p>
      <w:pPr>
        <w:pStyle w:val="Default"/>
        <w:tabs>
          <w:tab w:val="left" w:pos="1530"/>
        </w:tabs>
        <w:bidi w:val="0"/>
        <w:spacing w:line="360" w:lineRule="auto"/>
        <w:ind w:left="0" w:right="998" w:firstLine="0"/>
        <w:jc w:val="center"/>
        <w:rPr>
          <w:rFonts w:ascii="Verdana" w:cs="Verdana" w:hAnsi="Verdana" w:eastAsia="Verdana"/>
          <w:b w:val="1"/>
          <w:bCs w:val="1"/>
          <w:u w:val="single"/>
          <w:rtl w:val="0"/>
        </w:rPr>
      </w:pPr>
      <w:r>
        <w:rPr>
          <w:rFonts w:ascii="Verdana" w:hAnsi="Verdana"/>
          <w:b w:val="1"/>
          <w:bCs w:val="1"/>
          <w:u w:val="single"/>
          <w:rtl w:val="0"/>
          <w:lang w:val="en-US"/>
        </w:rPr>
        <w:t xml:space="preserve">Qualifications: </w:t>
      </w:r>
    </w:p>
    <w:p>
      <w:pPr>
        <w:pStyle w:val="Default"/>
        <w:tabs>
          <w:tab w:val="left" w:pos="1530"/>
        </w:tabs>
        <w:bidi w:val="0"/>
        <w:spacing w:line="360" w:lineRule="auto"/>
        <w:ind w:left="0" w:right="998" w:firstLine="0"/>
        <w:jc w:val="center"/>
        <w:rPr>
          <w:rFonts w:ascii="Verdana" w:cs="Verdana" w:hAnsi="Verdana" w:eastAsia="Verdana"/>
          <w:rtl w:val="0"/>
        </w:rPr>
      </w:pPr>
    </w:p>
    <w:p>
      <w:pPr>
        <w:pStyle w:val="Default"/>
        <w:numPr>
          <w:ilvl w:val="0"/>
          <w:numId w:val="2"/>
        </w:numPr>
        <w:bidi w:val="0"/>
        <w:spacing w:line="360" w:lineRule="auto"/>
        <w:ind w:right="998"/>
        <w:jc w:val="both"/>
        <w:rPr>
          <w:rFonts w:ascii="Verdana" w:cs="Verdana" w:hAnsi="Verdana" w:eastAsia="Verdana"/>
          <w:b w:val="1"/>
          <w:bCs w:val="1"/>
          <w:rtl w:val="0"/>
          <w:lang w:val="en-US"/>
        </w:rPr>
      </w:pPr>
      <w:r>
        <w:rPr>
          <w:rFonts w:ascii="Verdana" w:hAnsi="Verdana"/>
          <w:b w:val="1"/>
          <w:bCs w:val="1"/>
          <w:rtl w:val="0"/>
          <w:lang w:val="en-US"/>
        </w:rPr>
        <w:t xml:space="preserve">Pursuing LL.M (Maters in international Business Laws) from National University of Ireland Maynooth.  </w:t>
      </w:r>
    </w:p>
    <w:p>
      <w:pPr>
        <w:pStyle w:val="Default"/>
        <w:numPr>
          <w:ilvl w:val="0"/>
          <w:numId w:val="2"/>
        </w:numPr>
        <w:bidi w:val="0"/>
        <w:spacing w:line="360" w:lineRule="auto"/>
        <w:ind w:right="998"/>
        <w:jc w:val="both"/>
        <w:rPr>
          <w:rFonts w:ascii="Verdana" w:cs="Verdana" w:hAnsi="Verdana" w:eastAsia="Verdana"/>
          <w:b w:val="1"/>
          <w:bCs w:val="1"/>
          <w:rtl w:val="0"/>
          <w:lang w:val="en-US"/>
        </w:rPr>
      </w:pPr>
      <w:r>
        <w:rPr>
          <w:rFonts w:ascii="Verdana" w:hAnsi="Verdana"/>
          <w:b w:val="1"/>
          <w:bCs w:val="1"/>
          <w:rtl w:val="0"/>
          <w:lang w:val="en-US"/>
        </w:rPr>
        <w:t xml:space="preserve">Attained Bachelors in Law i.e. </w:t>
      </w:r>
      <w:r>
        <w:rPr>
          <w:rFonts w:ascii="Verdana" w:hAnsi="Verdana"/>
          <w:b w:val="1"/>
          <w:bCs w:val="1"/>
          <w:rtl w:val="0"/>
          <w:lang w:val="en-US"/>
        </w:rPr>
        <w:t>B.A. LL.B (Hons.) from Ideal Institute of Management and Technology &amp; School of Law affiliated to Guru Gobind Singh Indraprastha University, Delhi</w:t>
      </w:r>
      <w:r>
        <w:rPr>
          <w:rFonts w:ascii="Verdana" w:hAnsi="Verdana"/>
          <w:b w:val="1"/>
          <w:bCs w:val="1"/>
          <w:rtl w:val="0"/>
          <w:lang w:val="en-US"/>
        </w:rPr>
        <w:t>, India.</w:t>
      </w:r>
      <w:r>
        <w:rPr>
          <w:rFonts w:ascii="Verdana" w:hAnsi="Verdana"/>
          <w:b w:val="1"/>
          <w:bCs w:val="1"/>
          <w:rtl w:val="0"/>
        </w:rPr>
        <w:t xml:space="preserve"> </w:t>
      </w:r>
    </w:p>
    <w:p>
      <w:pPr>
        <w:pStyle w:val="Default"/>
        <w:numPr>
          <w:ilvl w:val="0"/>
          <w:numId w:val="2"/>
        </w:numPr>
        <w:bidi w:val="0"/>
        <w:spacing w:line="360" w:lineRule="auto"/>
        <w:ind w:right="998"/>
        <w:jc w:val="both"/>
        <w:rPr>
          <w:rFonts w:ascii="Verdana" w:cs="Verdana" w:hAnsi="Verdana" w:eastAsia="Verdana"/>
          <w:b w:val="1"/>
          <w:bCs w:val="1"/>
          <w:rtl w:val="0"/>
          <w:lang w:val="en-US"/>
        </w:rPr>
      </w:pPr>
      <w:r>
        <w:rPr>
          <w:rFonts w:ascii="Verdana" w:hAnsi="Verdana"/>
          <w:b w:val="1"/>
          <w:bCs w:val="1"/>
          <w:rtl w:val="0"/>
          <w:lang w:val="en-US"/>
        </w:rPr>
        <w:t>Attended 10</w:t>
      </w:r>
      <w:r>
        <w:rPr>
          <w:rFonts w:ascii="Verdana" w:hAnsi="Verdana"/>
          <w:b w:val="1"/>
          <w:bCs w:val="1"/>
          <w:vertAlign w:val="superscript"/>
          <w:rtl w:val="0"/>
          <w:lang w:val="en-US"/>
        </w:rPr>
        <w:t>th</w:t>
      </w:r>
      <w:r>
        <w:rPr>
          <w:rFonts w:ascii="Verdana" w:hAnsi="Verdana"/>
          <w:b w:val="1"/>
          <w:bCs w:val="1"/>
          <w:rtl w:val="0"/>
          <w:lang w:val="en-US"/>
        </w:rPr>
        <w:t xml:space="preserve"> Winter Residential School Program on Economic, Social, Development Rights conducted by Kathmandu School of Law in association with Human Rights Institute, Denmark.</w:t>
      </w:r>
      <w:r>
        <w:rPr>
          <w:rFonts w:ascii="Verdana" w:hAnsi="Verdana"/>
          <w:b w:val="1"/>
          <w:bCs w:val="1"/>
          <w:rtl w:val="0"/>
          <w:lang w:val="en-US"/>
        </w:rPr>
        <w:t xml:space="preserve"> Awarded with Diploma in the said course along with the Best Discipline Award for the said program. </w:t>
      </w:r>
      <w:r>
        <w:rPr>
          <w:rFonts w:ascii="Verdana" w:hAnsi="Verdana"/>
          <w:b w:val="1"/>
          <w:bCs w:val="1"/>
          <w:rtl w:val="0"/>
        </w:rPr>
        <w:t xml:space="preserve"> </w:t>
      </w:r>
    </w:p>
    <w:p>
      <w:pPr>
        <w:pStyle w:val="Default"/>
        <w:tabs>
          <w:tab w:val="left" w:pos="1530"/>
        </w:tabs>
        <w:bidi w:val="0"/>
        <w:spacing w:line="360" w:lineRule="auto"/>
        <w:ind w:left="0" w:right="998" w:firstLine="0"/>
        <w:jc w:val="both"/>
        <w:rPr>
          <w:rFonts w:ascii="Verdana" w:cs="Verdana" w:hAnsi="Verdana" w:eastAsia="Verdana"/>
          <w:rtl w:val="0"/>
        </w:rPr>
      </w:pPr>
    </w:p>
    <w:p>
      <w:pPr>
        <w:pStyle w:val="Default"/>
        <w:tabs>
          <w:tab w:val="left" w:pos="1530"/>
        </w:tabs>
        <w:bidi w:val="0"/>
        <w:spacing w:line="360" w:lineRule="auto"/>
        <w:ind w:left="0" w:right="998" w:firstLine="0"/>
        <w:jc w:val="center"/>
        <w:rPr>
          <w:rFonts w:ascii="Verdana" w:cs="Verdana" w:hAnsi="Verdana" w:eastAsia="Verdana"/>
          <w:b w:val="1"/>
          <w:bCs w:val="1"/>
          <w:u w:val="single"/>
          <w:rtl w:val="0"/>
        </w:rPr>
      </w:pPr>
      <w:r>
        <w:rPr>
          <w:rFonts w:ascii="Verdana" w:hAnsi="Verdana"/>
          <w:b w:val="1"/>
          <w:bCs w:val="1"/>
          <w:u w:val="single"/>
          <w:rtl w:val="0"/>
          <w:lang w:val="en-US"/>
        </w:rPr>
        <w:t>Professional Experience:</w:t>
      </w:r>
    </w:p>
    <w:p>
      <w:pPr>
        <w:pStyle w:val="Default"/>
        <w:tabs>
          <w:tab w:val="left" w:pos="1530"/>
        </w:tabs>
        <w:bidi w:val="0"/>
        <w:spacing w:line="360" w:lineRule="auto"/>
        <w:ind w:left="0" w:right="998" w:firstLine="0"/>
        <w:jc w:val="both"/>
        <w:rPr>
          <w:rFonts w:ascii="Verdana" w:cs="Verdana" w:hAnsi="Verdana" w:eastAsia="Verdana"/>
          <w:rtl w:val="0"/>
        </w:rPr>
      </w:pPr>
    </w:p>
    <w:p>
      <w:pPr>
        <w:pStyle w:val="Default"/>
        <w:bidi w:val="0"/>
        <w:ind w:left="0" w:right="998" w:firstLine="0"/>
        <w:jc w:val="both"/>
        <w:rPr>
          <w:rFonts w:ascii="Verdana" w:cs="Verdana" w:hAnsi="Verdana" w:eastAsia="Verdana"/>
          <w:b w:val="1"/>
          <w:bCs w:val="1"/>
          <w:rtl w:val="0"/>
        </w:rPr>
      </w:pPr>
      <w:r>
        <w:rPr>
          <w:rFonts w:ascii="Verdana" w:hAnsi="Verdana"/>
          <w:b w:val="1"/>
          <w:bCs w:val="1"/>
          <w:rtl w:val="0"/>
          <w:lang w:val="en-US"/>
        </w:rPr>
        <w:t>Internship with Rajeev Kapoor &amp; Co</w:t>
      </w:r>
      <w:r>
        <w:rPr>
          <w:rFonts w:ascii="Verdana" w:hAnsi="Verdana"/>
          <w:b w:val="0"/>
          <w:bCs w:val="0"/>
          <w:rtl w:val="0"/>
        </w:rPr>
        <w:t xml:space="preserve">. </w:t>
      </w:r>
      <w:r>
        <w:rPr>
          <w:rFonts w:ascii="Verdana" w:hAnsi="Verdana"/>
          <w:b w:val="1"/>
          <w:bCs w:val="1"/>
          <w:rtl w:val="0"/>
          <w:lang w:val="en-US"/>
        </w:rPr>
        <w:t xml:space="preserve">(June </w:t>
      </w:r>
      <w:r>
        <w:rPr>
          <w:rFonts w:ascii="Verdana" w:hAnsi="Verdana" w:hint="default"/>
          <w:b w:val="1"/>
          <w:bCs w:val="1"/>
          <w:rtl w:val="0"/>
        </w:rPr>
        <w:t xml:space="preserve">– </w:t>
      </w:r>
      <w:r>
        <w:rPr>
          <w:rFonts w:ascii="Verdana" w:hAnsi="Verdana"/>
          <w:b w:val="1"/>
          <w:bCs w:val="1"/>
          <w:rtl w:val="0"/>
        </w:rPr>
        <w:t>August, 2014)</w:t>
      </w:r>
      <w:r>
        <w:rPr>
          <w:rFonts w:ascii="Verdana" w:hAnsi="Verdana"/>
          <w:b w:val="1"/>
          <w:bCs w:val="1"/>
          <w:rtl w:val="0"/>
          <w:lang w:val="en-US"/>
        </w:rPr>
        <w:t xml:space="preserve">: </w:t>
      </w:r>
      <w:r>
        <w:rPr>
          <w:rFonts w:ascii="Verdana" w:hAnsi="Verdana"/>
          <w:b w:val="0"/>
          <w:bCs w:val="0"/>
          <w:rtl w:val="0"/>
          <w:lang w:val="en-US"/>
        </w:rPr>
        <w:t xml:space="preserve">A two month of Internship with individual counsel dealing with a vide variety of matters in original as well as appellate Courts and Tribunals. The work profile as a trainee included drafting of various suits and appeals for various criminal and civil matters along with assisting the counsel through the arguments and in other court proceedings. </w:t>
      </w:r>
    </w:p>
    <w:p>
      <w:pPr>
        <w:pStyle w:val="Default"/>
        <w:bidi w:val="0"/>
        <w:ind w:left="0" w:right="998" w:firstLine="0"/>
        <w:jc w:val="both"/>
        <w:rPr>
          <w:rFonts w:ascii="Verdana" w:cs="Verdana" w:hAnsi="Verdana" w:eastAsia="Verdana"/>
          <w:b w:val="1"/>
          <w:bCs w:val="1"/>
          <w:rtl w:val="0"/>
        </w:rPr>
      </w:pPr>
    </w:p>
    <w:p>
      <w:pPr>
        <w:pStyle w:val="Default"/>
        <w:bidi w:val="0"/>
        <w:ind w:left="0" w:right="998" w:firstLine="0"/>
        <w:jc w:val="both"/>
        <w:rPr>
          <w:rFonts w:ascii="Verdana" w:cs="Verdana" w:hAnsi="Verdana" w:eastAsia="Verdana"/>
          <w:b w:val="1"/>
          <w:bCs w:val="1"/>
          <w:rtl w:val="0"/>
        </w:rPr>
      </w:pPr>
      <w:r>
        <w:rPr>
          <w:rFonts w:ascii="Verdana" w:hAnsi="Verdana"/>
          <w:b w:val="1"/>
          <w:bCs w:val="1"/>
          <w:rtl w:val="0"/>
          <w:lang w:val="en-US"/>
        </w:rPr>
        <w:t>Internship with Adv. Sushmita Banerjee. (July, 2015)</w:t>
      </w:r>
      <w:r>
        <w:rPr>
          <w:rFonts w:ascii="Verdana" w:hAnsi="Verdana"/>
          <w:b w:val="1"/>
          <w:bCs w:val="1"/>
          <w:rtl w:val="0"/>
          <w:lang w:val="en-US"/>
        </w:rPr>
        <w:t xml:space="preserve">: </w:t>
      </w:r>
      <w:r>
        <w:rPr>
          <w:rFonts w:ascii="Verdana" w:hAnsi="Verdana"/>
          <w:b w:val="0"/>
          <w:bCs w:val="0"/>
          <w:rtl w:val="0"/>
          <w:lang w:val="en-US"/>
        </w:rPr>
        <w:t>A month of internship with an individual counsel dealing specifically in the matters related to Banking and Insolvency and Corporate Restructuring. Have experience in drafting original and interim applications related to special tribunals for the said matters.</w:t>
      </w:r>
      <w:r>
        <w:rPr>
          <w:rFonts w:ascii="Verdana" w:hAnsi="Verdana"/>
          <w:b w:val="1"/>
          <w:bCs w:val="1"/>
          <w:rtl w:val="0"/>
          <w:lang w:val="en-US"/>
        </w:rPr>
        <w:t xml:space="preserve"> </w:t>
      </w:r>
    </w:p>
    <w:p>
      <w:pPr>
        <w:pStyle w:val="Default"/>
        <w:bidi w:val="0"/>
        <w:ind w:left="0" w:right="998" w:firstLine="0"/>
        <w:jc w:val="both"/>
        <w:rPr>
          <w:rFonts w:ascii="Verdana" w:cs="Verdana" w:hAnsi="Verdana" w:eastAsia="Verdana"/>
          <w:b w:val="1"/>
          <w:bCs w:val="1"/>
          <w:rtl w:val="0"/>
        </w:rPr>
      </w:pPr>
    </w:p>
    <w:p>
      <w:pPr>
        <w:pStyle w:val="Default"/>
        <w:bidi w:val="0"/>
        <w:ind w:left="0" w:right="998" w:firstLine="0"/>
        <w:jc w:val="both"/>
        <w:rPr>
          <w:rFonts w:ascii="Verdana" w:cs="Verdana" w:hAnsi="Verdana" w:eastAsia="Verdana"/>
          <w:b w:val="0"/>
          <w:bCs w:val="0"/>
          <w:rtl w:val="0"/>
        </w:rPr>
      </w:pPr>
      <w:r>
        <w:rPr>
          <w:rFonts w:ascii="Verdana" w:hAnsi="Verdana"/>
          <w:b w:val="1"/>
          <w:bCs w:val="1"/>
          <w:rtl w:val="0"/>
          <w:lang w:val="en-US"/>
        </w:rPr>
        <w:t xml:space="preserve">Internship at the Secretariat of Asian African Legal Consultative Organization (AALCO). (August </w:t>
      </w:r>
      <w:r>
        <w:rPr>
          <w:rFonts w:ascii="Verdana" w:hAnsi="Verdana" w:hint="default"/>
          <w:b w:val="1"/>
          <w:bCs w:val="1"/>
          <w:rtl w:val="0"/>
        </w:rPr>
        <w:t xml:space="preserve">– </w:t>
      </w:r>
      <w:r>
        <w:rPr>
          <w:rFonts w:ascii="Verdana" w:hAnsi="Verdana"/>
          <w:b w:val="1"/>
          <w:bCs w:val="1"/>
          <w:rtl w:val="0"/>
        </w:rPr>
        <w:t>September, 2015)</w:t>
      </w:r>
      <w:r>
        <w:rPr>
          <w:rFonts w:ascii="Verdana" w:hAnsi="Verdana"/>
          <w:b w:val="1"/>
          <w:bCs w:val="1"/>
          <w:rtl w:val="0"/>
          <w:lang w:val="en-US"/>
        </w:rPr>
        <w:t xml:space="preserve">: </w:t>
      </w:r>
      <w:r>
        <w:rPr>
          <w:rFonts w:ascii="Verdana" w:hAnsi="Verdana"/>
          <w:b w:val="0"/>
          <w:bCs w:val="0"/>
          <w:rtl w:val="0"/>
          <w:lang w:val="en-US"/>
        </w:rPr>
        <w:t xml:space="preserve">Experience of one month internship with an international organisation having its secretariat at New Delhi, India. Having its primary function as legal Advisor to its member nations on matters related to International Law has now its focus towards extensive research on International Customary Law. Being a trainee the course of my work included research on various issues related to International Law. Also, worked with the Editorial team of AALCO year book. </w:t>
      </w:r>
    </w:p>
    <w:p>
      <w:pPr>
        <w:pStyle w:val="Default"/>
        <w:bidi w:val="0"/>
        <w:ind w:left="0" w:right="998" w:firstLine="0"/>
        <w:jc w:val="both"/>
        <w:rPr>
          <w:rFonts w:ascii="Verdana" w:cs="Verdana" w:hAnsi="Verdana" w:eastAsia="Verdana"/>
          <w:b w:val="1"/>
          <w:bCs w:val="1"/>
          <w:rtl w:val="0"/>
        </w:rPr>
      </w:pPr>
    </w:p>
    <w:p>
      <w:pPr>
        <w:pStyle w:val="Default"/>
        <w:bidi w:val="0"/>
        <w:spacing w:line="276" w:lineRule="auto"/>
        <w:ind w:left="0" w:right="998" w:firstLine="0"/>
        <w:jc w:val="both"/>
        <w:rPr>
          <w:rFonts w:ascii="Verdana" w:cs="Verdana" w:hAnsi="Verdana" w:eastAsia="Verdana"/>
          <w:b w:val="0"/>
          <w:bCs w:val="0"/>
          <w:rtl w:val="0"/>
        </w:rPr>
      </w:pPr>
      <w:r>
        <w:rPr>
          <w:rFonts w:ascii="Verdana" w:hAnsi="Verdana"/>
          <w:b w:val="1"/>
          <w:bCs w:val="1"/>
          <w:rtl w:val="0"/>
          <w:lang w:val="en-US"/>
        </w:rPr>
        <w:t xml:space="preserve">Internship with Vaish Associates &amp; Advocates. (June </w:t>
      </w:r>
      <w:r>
        <w:rPr>
          <w:rFonts w:ascii="Verdana" w:hAnsi="Verdana" w:hint="default"/>
          <w:b w:val="1"/>
          <w:bCs w:val="1"/>
          <w:rtl w:val="0"/>
        </w:rPr>
        <w:t xml:space="preserve">– </w:t>
      </w:r>
      <w:r>
        <w:rPr>
          <w:rFonts w:ascii="Verdana" w:hAnsi="Verdana"/>
          <w:b w:val="1"/>
          <w:bCs w:val="1"/>
          <w:rtl w:val="0"/>
          <w:lang w:val="en-US"/>
        </w:rPr>
        <w:t>July 2016)</w:t>
      </w:r>
      <w:r>
        <w:rPr>
          <w:rFonts w:ascii="Verdana" w:hAnsi="Verdana"/>
          <w:b w:val="1"/>
          <w:bCs w:val="1"/>
          <w:rtl w:val="0"/>
          <w:lang w:val="en-US"/>
        </w:rPr>
        <w:t xml:space="preserve">: </w:t>
      </w:r>
      <w:r>
        <w:rPr>
          <w:rFonts w:ascii="Verdana" w:hAnsi="Verdana"/>
          <w:b w:val="0"/>
          <w:bCs w:val="0"/>
          <w:rtl w:val="0"/>
          <w:lang w:val="en-US"/>
        </w:rPr>
        <w:t xml:space="preserve">Working with the Intellectual Property Rights division of Vaish Associates Advocates, have experience drafting applications related to Trademark registration and copyright related disputes. </w:t>
      </w:r>
    </w:p>
    <w:p>
      <w:pPr>
        <w:pStyle w:val="Default"/>
        <w:bidi w:val="0"/>
        <w:spacing w:line="276" w:lineRule="auto"/>
        <w:ind w:left="0" w:right="998" w:firstLine="0"/>
        <w:jc w:val="both"/>
        <w:rPr>
          <w:rFonts w:ascii="Verdana" w:cs="Verdana" w:hAnsi="Verdana" w:eastAsia="Verdana"/>
          <w:b w:val="0"/>
          <w:bCs w:val="0"/>
          <w:rtl w:val="0"/>
        </w:rPr>
      </w:pPr>
    </w:p>
    <w:p>
      <w:pPr>
        <w:pStyle w:val="Default"/>
        <w:bidi w:val="0"/>
        <w:spacing w:line="276" w:lineRule="auto"/>
        <w:ind w:left="0" w:right="998" w:firstLine="0"/>
        <w:jc w:val="both"/>
        <w:rPr>
          <w:rFonts w:ascii="Verdana" w:cs="Verdana" w:hAnsi="Verdana" w:eastAsia="Verdana"/>
          <w:b w:val="1"/>
          <w:bCs w:val="1"/>
          <w:rtl w:val="0"/>
        </w:rPr>
      </w:pPr>
      <w:r>
        <w:rPr>
          <w:rFonts w:ascii="Verdana" w:hAnsi="Verdana"/>
          <w:b w:val="1"/>
          <w:bCs w:val="1"/>
          <w:rtl w:val="0"/>
          <w:lang w:val="en-US"/>
        </w:rPr>
        <w:t>Internship with Dhir &amp; Dhir Associates</w:t>
      </w:r>
      <w:r>
        <w:rPr>
          <w:rFonts w:ascii="Verdana" w:hAnsi="Verdana"/>
          <w:b w:val="1"/>
          <w:bCs w:val="1"/>
          <w:rtl w:val="0"/>
          <w:lang w:val="en-US"/>
        </w:rPr>
        <w:t xml:space="preserve">: January and April, 2017): </w:t>
      </w:r>
      <w:r>
        <w:rPr>
          <w:rFonts w:ascii="Verdana" w:hAnsi="Verdana"/>
          <w:b w:val="0"/>
          <w:bCs w:val="0"/>
          <w:rtl w:val="0"/>
          <w:lang w:val="en-US"/>
        </w:rPr>
        <w:t xml:space="preserve">The firm having expertise in Banking and Insolvency disputes along with a range of matters related to Corporate Restructuring as well as matters related to general corporate commercial in the litigation as well as corporate department. Being a trainee with both the litigation and corporate department, I have experience with issues related to Banking, Insurance, Insolvency and Restructuring disputes along with the same have knowledge about capital markets, Foreign Exchange Regulations and Foreign Direct Investment, extending to Reserve Bank Policies and Regulations. </w:t>
      </w:r>
    </w:p>
    <w:p>
      <w:pPr>
        <w:pStyle w:val="Default"/>
        <w:bidi w:val="0"/>
        <w:spacing w:line="276" w:lineRule="auto"/>
        <w:ind w:left="0" w:right="998" w:firstLine="0"/>
        <w:jc w:val="both"/>
        <w:rPr>
          <w:rFonts w:ascii="Verdana" w:cs="Verdana" w:hAnsi="Verdana" w:eastAsia="Verdana"/>
          <w:b w:val="1"/>
          <w:bCs w:val="1"/>
          <w:rtl w:val="0"/>
        </w:rPr>
      </w:pPr>
    </w:p>
    <w:p>
      <w:pPr>
        <w:pStyle w:val="Default"/>
        <w:bidi w:val="0"/>
        <w:spacing w:line="276" w:lineRule="auto"/>
        <w:ind w:left="0" w:right="998" w:firstLine="0"/>
        <w:jc w:val="both"/>
        <w:rPr>
          <w:rFonts w:ascii="Verdana" w:cs="Verdana" w:hAnsi="Verdana" w:eastAsia="Verdana"/>
          <w:b w:val="1"/>
          <w:bCs w:val="1"/>
          <w:rtl w:val="0"/>
        </w:rPr>
      </w:pPr>
      <w:r>
        <w:rPr>
          <w:rFonts w:ascii="Verdana" w:hAnsi="Verdana"/>
          <w:b w:val="1"/>
          <w:bCs w:val="1"/>
          <w:rtl w:val="0"/>
          <w:lang w:val="en-US"/>
        </w:rPr>
        <w:t>I</w:t>
      </w:r>
      <w:r>
        <w:rPr>
          <w:rFonts w:ascii="Verdana" w:hAnsi="Verdana"/>
          <w:b w:val="1"/>
          <w:bCs w:val="1"/>
          <w:rtl w:val="0"/>
        </w:rPr>
        <w:t>nter</w:t>
      </w:r>
      <w:r>
        <w:rPr>
          <w:rFonts w:ascii="Verdana" w:hAnsi="Verdana"/>
          <w:b w:val="1"/>
          <w:bCs w:val="1"/>
          <w:rtl w:val="0"/>
          <w:lang w:val="en-US"/>
        </w:rPr>
        <w:t>nship</w:t>
      </w:r>
      <w:r>
        <w:rPr>
          <w:rFonts w:ascii="Verdana" w:hAnsi="Verdana"/>
          <w:b w:val="1"/>
          <w:bCs w:val="1"/>
          <w:rtl w:val="0"/>
          <w:lang w:val="en-US"/>
        </w:rPr>
        <w:t xml:space="preserve"> with Jyoti Sagar Associates</w:t>
      </w:r>
      <w:r>
        <w:rPr>
          <w:rFonts w:ascii="Verdana" w:hAnsi="Verdana"/>
          <w:b w:val="1"/>
          <w:bCs w:val="1"/>
          <w:rtl w:val="0"/>
          <w:lang w:val="en-US"/>
        </w:rPr>
        <w:t xml:space="preserve"> (February, 2017): </w:t>
      </w:r>
      <w:r>
        <w:rPr>
          <w:rFonts w:ascii="Verdana" w:hAnsi="Verdana"/>
          <w:b w:val="0"/>
          <w:bCs w:val="0"/>
          <w:rtl w:val="0"/>
          <w:lang w:val="en-US"/>
        </w:rPr>
        <w:t>One month of internship with J.Sagar Associates. Through the course of internship, worked on State Excise Laws. In a detailed view, have worked on preparing Excise Manuals as well as Route to Market manuals for breweries and vineries.</w:t>
      </w:r>
      <w:r>
        <w:rPr>
          <w:rFonts w:ascii="Verdana" w:hAnsi="Verdana"/>
          <w:b w:val="1"/>
          <w:bCs w:val="1"/>
          <w:rtl w:val="0"/>
          <w:lang w:val="en-US"/>
        </w:rPr>
        <w:t xml:space="preserve"> </w:t>
      </w:r>
    </w:p>
    <w:p>
      <w:pPr>
        <w:pStyle w:val="Default"/>
        <w:bidi w:val="0"/>
        <w:spacing w:line="276" w:lineRule="auto"/>
        <w:ind w:left="0" w:right="998" w:firstLine="0"/>
        <w:jc w:val="both"/>
        <w:rPr>
          <w:rFonts w:ascii="Verdana" w:cs="Verdana" w:hAnsi="Verdana" w:eastAsia="Verdana"/>
          <w:b w:val="1"/>
          <w:bCs w:val="1"/>
          <w:rtl w:val="0"/>
        </w:rPr>
      </w:pPr>
    </w:p>
    <w:p>
      <w:pPr>
        <w:pStyle w:val="Default"/>
        <w:bidi w:val="0"/>
        <w:spacing w:line="276" w:lineRule="auto"/>
        <w:ind w:left="0" w:right="998" w:firstLine="0"/>
        <w:jc w:val="both"/>
        <w:rPr>
          <w:rFonts w:ascii="Verdana" w:cs="Verdana" w:hAnsi="Verdana" w:eastAsia="Verdana"/>
          <w:b w:val="1"/>
          <w:bCs w:val="1"/>
          <w:rtl w:val="0"/>
        </w:rPr>
      </w:pPr>
    </w:p>
    <w:p>
      <w:pPr>
        <w:pStyle w:val="Default"/>
        <w:bidi w:val="0"/>
        <w:spacing w:line="276" w:lineRule="auto"/>
        <w:ind w:left="0" w:right="998" w:firstLine="0"/>
        <w:jc w:val="both"/>
        <w:rPr>
          <w:rFonts w:ascii="Verdana" w:cs="Verdana" w:hAnsi="Verdana" w:eastAsia="Verdana"/>
          <w:b w:val="1"/>
          <w:bCs w:val="1"/>
          <w:rtl w:val="0"/>
        </w:rPr>
      </w:pPr>
      <w:r>
        <w:rPr>
          <w:rFonts w:ascii="Verdana" w:hAnsi="Verdana"/>
          <w:b w:val="1"/>
          <w:bCs w:val="1"/>
          <w:rtl w:val="0"/>
          <w:lang w:val="en-US"/>
        </w:rPr>
        <w:t xml:space="preserve">Internship with Adv. Lokesh Sinhal (Addl. Advocate General Haryana), (March, 2017): </w:t>
      </w:r>
      <w:r>
        <w:rPr>
          <w:rFonts w:ascii="Verdana" w:hAnsi="Verdana"/>
          <w:b w:val="0"/>
          <w:bCs w:val="0"/>
          <w:rtl w:val="0"/>
          <w:lang w:val="en-US"/>
        </w:rPr>
        <w:t xml:space="preserve">Experience of interning with State Counsel. The nature of matters dealt with included writs, appeals, applications for state in both Criminal as well as Civil matters. The course of work also included assisting in arguments held in the Punjab and Haryana High Court, State Consumer Dispute Redressal Commissions and Central Administrative Tribunals. </w:t>
      </w:r>
    </w:p>
    <w:p>
      <w:pPr>
        <w:pStyle w:val="Default"/>
        <w:bidi w:val="0"/>
        <w:spacing w:line="276" w:lineRule="auto"/>
        <w:ind w:left="0" w:right="998" w:firstLine="0"/>
        <w:jc w:val="both"/>
        <w:rPr>
          <w:rFonts w:ascii="Verdana" w:cs="Verdana" w:hAnsi="Verdana" w:eastAsia="Verdana"/>
          <w:b w:val="1"/>
          <w:bCs w:val="1"/>
          <w:rtl w:val="0"/>
        </w:rPr>
      </w:pPr>
    </w:p>
    <w:p>
      <w:pPr>
        <w:pStyle w:val="Default"/>
        <w:bidi w:val="0"/>
        <w:spacing w:line="276" w:lineRule="auto"/>
        <w:ind w:left="0" w:right="998" w:firstLine="0"/>
        <w:jc w:val="both"/>
        <w:rPr>
          <w:rFonts w:ascii="Verdana" w:cs="Verdana" w:hAnsi="Verdana" w:eastAsia="Verdana"/>
          <w:b w:val="1"/>
          <w:bCs w:val="1"/>
          <w:rtl w:val="0"/>
        </w:rPr>
      </w:pPr>
      <w:r>
        <w:rPr>
          <w:rFonts w:ascii="Verdana" w:hAnsi="Verdana"/>
          <w:b w:val="1"/>
          <w:bCs w:val="1"/>
          <w:rtl w:val="0"/>
          <w:lang w:val="en-US"/>
        </w:rPr>
        <w:t xml:space="preserve">Internship with Dua Associates, (May, 2017): </w:t>
      </w:r>
      <w:r>
        <w:rPr>
          <w:rFonts w:ascii="Verdana" w:hAnsi="Verdana"/>
          <w:b w:val="0"/>
          <w:bCs w:val="0"/>
          <w:rtl w:val="0"/>
          <w:lang w:val="en-US"/>
        </w:rPr>
        <w:t xml:space="preserve">Working with Dua Associates included extensive research and analytical manual preparation on the Real Estate Regulation &amp; Development Act, an entirely new enacted legislation related to Real Estate developers and Project in India. </w:t>
      </w: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540" w:right="998" w:hanging="540"/>
        <w:jc w:val="both"/>
        <w:rPr>
          <w:rFonts w:ascii="Verdana" w:cs="Verdana" w:hAnsi="Verdana" w:eastAsia="Verdana"/>
          <w:b w:val="0"/>
          <w:bCs w:val="0"/>
          <w:rtl w:val="0"/>
        </w:rPr>
      </w:pPr>
    </w:p>
    <w:p>
      <w:pPr>
        <w:pStyle w:val="Default"/>
        <w:bidi w:val="0"/>
        <w:spacing w:line="276" w:lineRule="auto"/>
        <w:ind w:left="540" w:right="998" w:hanging="54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spacing w:line="276" w:lineRule="auto"/>
        <w:ind w:left="450" w:right="998" w:hanging="450"/>
        <w:jc w:val="both"/>
        <w:rPr>
          <w:rFonts w:ascii="Verdana" w:cs="Verdana" w:hAnsi="Verdana" w:eastAsia="Verdana"/>
          <w:b w:val="1"/>
          <w:bCs w:val="1"/>
          <w:rtl w:val="0"/>
        </w:rPr>
      </w:pPr>
    </w:p>
    <w:p>
      <w:pPr>
        <w:pStyle w:val="Default"/>
        <w:bidi w:val="0"/>
        <w:ind w:left="0" w:right="998" w:firstLine="0"/>
        <w:jc w:val="both"/>
        <w:rPr>
          <w:rtl w:val="0"/>
        </w:rPr>
      </w:pPr>
      <w:r>
        <w:rPr>
          <w:rFonts w:ascii="Verdana" w:cs="Verdana" w:hAnsi="Verdana" w:eastAsia="Verdana"/>
          <w:b w:val="1"/>
          <w:bCs w:val="1"/>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1530"/>
        </w:tabs>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1530"/>
        </w:tabs>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1530"/>
        </w:tabs>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1530"/>
        </w:tabs>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1530"/>
        </w:tabs>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1530"/>
        </w:tabs>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1530"/>
        </w:tabs>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1530"/>
        </w:tabs>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1530"/>
        </w:tabs>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