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3A82" w14:textId="77777777" w:rsidR="002752AF" w:rsidRPr="001A5F38" w:rsidRDefault="002752AF" w:rsidP="002752AF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Diarmuid</w:t>
      </w:r>
      <w:proofErr w:type="spellEnd"/>
      <w:r>
        <w:rPr>
          <w:b/>
          <w:sz w:val="28"/>
        </w:rPr>
        <w:t xml:space="preserve"> O’Carroll</w:t>
      </w:r>
    </w:p>
    <w:p w14:paraId="7F1E717A" w14:textId="77777777" w:rsidR="002752AF" w:rsidRPr="00022590" w:rsidRDefault="002752AF" w:rsidP="002752AF">
      <w:pPr>
        <w:spacing w:line="240" w:lineRule="auto"/>
        <w:jc w:val="center"/>
        <w:rPr>
          <w:b/>
          <w:sz w:val="24"/>
          <w:szCs w:val="24"/>
        </w:rPr>
      </w:pPr>
      <w:r w:rsidRPr="00022590">
        <w:rPr>
          <w:b/>
          <w:sz w:val="24"/>
          <w:szCs w:val="24"/>
        </w:rPr>
        <w:t>44 Church Park Drive, Harold’s Cross, Dublin 6W</w:t>
      </w:r>
    </w:p>
    <w:p w14:paraId="4DF456DF" w14:textId="77777777" w:rsidR="002752AF" w:rsidRPr="00022590" w:rsidRDefault="002752AF" w:rsidP="002752AF">
      <w:pPr>
        <w:spacing w:line="240" w:lineRule="auto"/>
        <w:jc w:val="center"/>
        <w:rPr>
          <w:b/>
          <w:sz w:val="24"/>
          <w:szCs w:val="24"/>
        </w:rPr>
      </w:pPr>
      <w:r w:rsidRPr="00022590">
        <w:rPr>
          <w:b/>
          <w:sz w:val="24"/>
          <w:szCs w:val="24"/>
        </w:rPr>
        <w:t>Tel: 0876217573</w:t>
      </w:r>
    </w:p>
    <w:p w14:paraId="31B5851A" w14:textId="77777777" w:rsidR="002752AF" w:rsidRPr="00022590" w:rsidRDefault="002752AF" w:rsidP="002752AF">
      <w:pPr>
        <w:spacing w:line="240" w:lineRule="auto"/>
        <w:jc w:val="center"/>
        <w:rPr>
          <w:b/>
          <w:sz w:val="24"/>
          <w:szCs w:val="24"/>
        </w:rPr>
      </w:pPr>
      <w:r w:rsidRPr="00022590">
        <w:rPr>
          <w:b/>
          <w:sz w:val="24"/>
          <w:szCs w:val="24"/>
        </w:rPr>
        <w:t>Email: ocarrodi@tcd.ie</w:t>
      </w:r>
    </w:p>
    <w:p w14:paraId="7D9BD770" w14:textId="77777777" w:rsidR="00B5791C" w:rsidRDefault="00B5791C" w:rsidP="00B5791C">
      <w:pPr>
        <w:jc w:val="both"/>
        <w:rPr>
          <w:i/>
          <w:sz w:val="24"/>
          <w:szCs w:val="24"/>
          <w:lang w:val="en-IE"/>
        </w:rPr>
      </w:pPr>
    </w:p>
    <w:p w14:paraId="5EA4D1E8" w14:textId="77777777" w:rsidR="0079675C" w:rsidRPr="00B5791C" w:rsidRDefault="0079675C" w:rsidP="00B5791C">
      <w:pPr>
        <w:jc w:val="both"/>
        <w:rPr>
          <w:i/>
          <w:sz w:val="24"/>
          <w:szCs w:val="24"/>
          <w:lang w:val="en-IE"/>
        </w:rPr>
      </w:pPr>
      <w:r w:rsidRPr="0079675C">
        <w:rPr>
          <w:b/>
          <w:sz w:val="28"/>
          <w:szCs w:val="28"/>
          <w:lang w:val="en-IE"/>
        </w:rPr>
        <w:t>Education</w:t>
      </w:r>
    </w:p>
    <w:p w14:paraId="7415929C" w14:textId="77777777" w:rsidR="0010441B" w:rsidRPr="00807385" w:rsidRDefault="0010441B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>2008-2014:</w:t>
      </w:r>
    </w:p>
    <w:p w14:paraId="7AA668FF" w14:textId="77777777" w:rsidR="0079675C" w:rsidRPr="00807385" w:rsidRDefault="0079675C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>St Brendan’s Community School, Birr, Co. Offaly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9675C" w:rsidRPr="00807385" w14:paraId="5FA8308E" w14:textId="77777777" w:rsidTr="0010441B">
        <w:tc>
          <w:tcPr>
            <w:tcW w:w="4505" w:type="dxa"/>
          </w:tcPr>
          <w:p w14:paraId="5D17086E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Leaving Certificate Results</w:t>
            </w:r>
          </w:p>
        </w:tc>
        <w:tc>
          <w:tcPr>
            <w:tcW w:w="4505" w:type="dxa"/>
          </w:tcPr>
          <w:p w14:paraId="57AB3F4C" w14:textId="77777777" w:rsidR="0079675C" w:rsidRPr="00807385" w:rsidRDefault="0079675C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600 points</w:t>
            </w:r>
          </w:p>
        </w:tc>
      </w:tr>
      <w:tr w:rsidR="0079675C" w:rsidRPr="00807385" w14:paraId="75B01170" w14:textId="77777777" w:rsidTr="000040C1">
        <w:trPr>
          <w:trHeight w:val="549"/>
        </w:trPr>
        <w:tc>
          <w:tcPr>
            <w:tcW w:w="4505" w:type="dxa"/>
          </w:tcPr>
          <w:p w14:paraId="525BB1A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Business (H)</w:t>
            </w:r>
          </w:p>
        </w:tc>
        <w:tc>
          <w:tcPr>
            <w:tcW w:w="4505" w:type="dxa"/>
          </w:tcPr>
          <w:p w14:paraId="22BADCA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7BCDC47F" w14:textId="77777777" w:rsidTr="0010441B">
        <w:tc>
          <w:tcPr>
            <w:tcW w:w="4505" w:type="dxa"/>
          </w:tcPr>
          <w:p w14:paraId="7E99F1E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German (H)</w:t>
            </w:r>
          </w:p>
        </w:tc>
        <w:tc>
          <w:tcPr>
            <w:tcW w:w="4505" w:type="dxa"/>
          </w:tcPr>
          <w:p w14:paraId="72E2A480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291B77BF" w14:textId="77777777" w:rsidTr="0010441B">
        <w:trPr>
          <w:trHeight w:val="353"/>
        </w:trPr>
        <w:tc>
          <w:tcPr>
            <w:tcW w:w="4505" w:type="dxa"/>
          </w:tcPr>
          <w:p w14:paraId="1FF8420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Irish (H)</w:t>
            </w:r>
          </w:p>
        </w:tc>
        <w:tc>
          <w:tcPr>
            <w:tcW w:w="4505" w:type="dxa"/>
          </w:tcPr>
          <w:p w14:paraId="120A1D87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619A69CE" w14:textId="77777777" w:rsidTr="0010441B">
        <w:tc>
          <w:tcPr>
            <w:tcW w:w="4505" w:type="dxa"/>
          </w:tcPr>
          <w:p w14:paraId="1DCD9A9A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Biology (H)</w:t>
            </w:r>
          </w:p>
        </w:tc>
        <w:tc>
          <w:tcPr>
            <w:tcW w:w="4505" w:type="dxa"/>
          </w:tcPr>
          <w:p w14:paraId="73B0D2F8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A1</w:t>
            </w:r>
          </w:p>
        </w:tc>
      </w:tr>
      <w:tr w:rsidR="0079675C" w:rsidRPr="00807385" w14:paraId="743B6EBC" w14:textId="77777777" w:rsidTr="0010441B">
        <w:tc>
          <w:tcPr>
            <w:tcW w:w="4505" w:type="dxa"/>
          </w:tcPr>
          <w:p w14:paraId="7BD9EB7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English (H)</w:t>
            </w:r>
          </w:p>
        </w:tc>
        <w:tc>
          <w:tcPr>
            <w:tcW w:w="4505" w:type="dxa"/>
          </w:tcPr>
          <w:p w14:paraId="722AEFB9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A2</w:t>
            </w:r>
          </w:p>
        </w:tc>
      </w:tr>
      <w:tr w:rsidR="0079675C" w:rsidRPr="00807385" w14:paraId="1BD13B1F" w14:textId="77777777" w:rsidTr="0010441B">
        <w:trPr>
          <w:trHeight w:val="325"/>
        </w:trPr>
        <w:tc>
          <w:tcPr>
            <w:tcW w:w="4505" w:type="dxa"/>
          </w:tcPr>
          <w:p w14:paraId="27141D1B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Maths (H)</w:t>
            </w:r>
          </w:p>
        </w:tc>
        <w:tc>
          <w:tcPr>
            <w:tcW w:w="4505" w:type="dxa"/>
          </w:tcPr>
          <w:p w14:paraId="49AD638F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B1</w:t>
            </w:r>
          </w:p>
        </w:tc>
      </w:tr>
      <w:tr w:rsidR="0079675C" w:rsidRPr="00807385" w14:paraId="7133EB9B" w14:textId="77777777" w:rsidTr="0010441B">
        <w:tc>
          <w:tcPr>
            <w:tcW w:w="4505" w:type="dxa"/>
          </w:tcPr>
          <w:p w14:paraId="44D5C364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Physics(H)</w:t>
            </w:r>
          </w:p>
        </w:tc>
        <w:tc>
          <w:tcPr>
            <w:tcW w:w="4505" w:type="dxa"/>
          </w:tcPr>
          <w:p w14:paraId="57B5B6D5" w14:textId="77777777" w:rsidR="0079675C" w:rsidRPr="00807385" w:rsidRDefault="0079675C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B1</w:t>
            </w:r>
          </w:p>
        </w:tc>
      </w:tr>
    </w:tbl>
    <w:p w14:paraId="3886C6B8" w14:textId="77777777" w:rsidR="00344161" w:rsidRPr="00807385" w:rsidRDefault="00344161">
      <w:pPr>
        <w:rPr>
          <w:b/>
          <w:sz w:val="24"/>
          <w:szCs w:val="24"/>
          <w:lang w:val="en-IE"/>
        </w:rPr>
      </w:pPr>
    </w:p>
    <w:p w14:paraId="4AD2DA00" w14:textId="77777777" w:rsidR="00EC2482" w:rsidRPr="00807385" w:rsidRDefault="00EC2482" w:rsidP="00EC2482">
      <w:pPr>
        <w:rPr>
          <w:b/>
          <w:sz w:val="24"/>
          <w:szCs w:val="24"/>
          <w:lang w:val="en-IE"/>
        </w:rPr>
      </w:pPr>
      <w:r w:rsidRPr="00807385">
        <w:rPr>
          <w:b/>
          <w:sz w:val="28"/>
          <w:szCs w:val="28"/>
          <w:lang w:val="en-IE"/>
        </w:rPr>
        <w:t>2014-Present</w:t>
      </w:r>
      <w:r w:rsidRPr="00807385">
        <w:rPr>
          <w:b/>
          <w:sz w:val="24"/>
          <w:szCs w:val="24"/>
          <w:lang w:val="en-IE"/>
        </w:rPr>
        <w:t>:</w:t>
      </w:r>
    </w:p>
    <w:p w14:paraId="16020A91" w14:textId="77777777" w:rsidR="00EC2482" w:rsidRPr="00807385" w:rsidRDefault="00EC2482" w:rsidP="00EC2482">
      <w:pPr>
        <w:rPr>
          <w:b/>
          <w:sz w:val="24"/>
          <w:szCs w:val="24"/>
          <w:lang w:val="en-IE"/>
        </w:rPr>
      </w:pPr>
      <w:r w:rsidRPr="00807385">
        <w:rPr>
          <w:b/>
          <w:sz w:val="24"/>
          <w:szCs w:val="24"/>
          <w:lang w:val="en-IE"/>
        </w:rPr>
        <w:t xml:space="preserve"> Law and Political Science, </w:t>
      </w:r>
      <w:proofErr w:type="gramStart"/>
      <w:r w:rsidRPr="00807385">
        <w:rPr>
          <w:b/>
          <w:sz w:val="24"/>
          <w:szCs w:val="24"/>
          <w:lang w:val="en-IE"/>
        </w:rPr>
        <w:t>The</w:t>
      </w:r>
      <w:proofErr w:type="gramEnd"/>
      <w:r w:rsidRPr="00807385">
        <w:rPr>
          <w:b/>
          <w:sz w:val="24"/>
          <w:szCs w:val="24"/>
          <w:lang w:val="en-IE"/>
        </w:rPr>
        <w:t xml:space="preserve"> University of Dublin, Trinity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C2482" w:rsidRPr="00807385" w14:paraId="7B9B1B59" w14:textId="77777777" w:rsidTr="008D1908">
        <w:tc>
          <w:tcPr>
            <w:tcW w:w="4505" w:type="dxa"/>
          </w:tcPr>
          <w:p w14:paraId="675C2AF9" w14:textId="77777777" w:rsidR="00EC2482" w:rsidRPr="00807385" w:rsidRDefault="00EC2482" w:rsidP="008D1908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First Year Final Results</w:t>
            </w:r>
          </w:p>
        </w:tc>
        <w:tc>
          <w:tcPr>
            <w:tcW w:w="4505" w:type="dxa"/>
          </w:tcPr>
          <w:p w14:paraId="55E98B8A" w14:textId="77777777" w:rsidR="00EC2482" w:rsidRPr="00807385" w:rsidRDefault="00EC2482" w:rsidP="008D1908">
            <w:pPr>
              <w:rPr>
                <w:b/>
                <w:sz w:val="24"/>
                <w:szCs w:val="24"/>
                <w:lang w:val="en-IE"/>
              </w:rPr>
            </w:pPr>
            <w:r w:rsidRPr="00807385">
              <w:rPr>
                <w:b/>
                <w:sz w:val="24"/>
                <w:szCs w:val="24"/>
                <w:lang w:val="en-IE"/>
              </w:rPr>
              <w:t>2.1</w:t>
            </w:r>
          </w:p>
        </w:tc>
      </w:tr>
      <w:tr w:rsidR="00EC2482" w:rsidRPr="00807385" w14:paraId="49FCDD5B" w14:textId="77777777" w:rsidTr="008D1908">
        <w:tc>
          <w:tcPr>
            <w:tcW w:w="4505" w:type="dxa"/>
          </w:tcPr>
          <w:p w14:paraId="08752CF5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Contract Law</w:t>
            </w:r>
          </w:p>
        </w:tc>
        <w:tc>
          <w:tcPr>
            <w:tcW w:w="4505" w:type="dxa"/>
          </w:tcPr>
          <w:p w14:paraId="124A5DCB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2.1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63%)</w:t>
            </w:r>
          </w:p>
        </w:tc>
      </w:tr>
      <w:tr w:rsidR="00EC2482" w:rsidRPr="00807385" w14:paraId="124BDF51" w14:textId="77777777" w:rsidTr="008D1908">
        <w:tc>
          <w:tcPr>
            <w:tcW w:w="4505" w:type="dxa"/>
          </w:tcPr>
          <w:p w14:paraId="04C4D723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Tort Law</w:t>
            </w:r>
          </w:p>
        </w:tc>
        <w:tc>
          <w:tcPr>
            <w:tcW w:w="4505" w:type="dxa"/>
          </w:tcPr>
          <w:p w14:paraId="0E7DFC7C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2.1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65%)</w:t>
            </w:r>
          </w:p>
        </w:tc>
      </w:tr>
      <w:tr w:rsidR="00EC2482" w:rsidRPr="00807385" w14:paraId="3D102F6B" w14:textId="77777777" w:rsidTr="008D1908">
        <w:tc>
          <w:tcPr>
            <w:tcW w:w="4505" w:type="dxa"/>
          </w:tcPr>
          <w:p w14:paraId="03C2D7BC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Irish Legal System</w:t>
            </w:r>
          </w:p>
        </w:tc>
        <w:tc>
          <w:tcPr>
            <w:tcW w:w="4505" w:type="dxa"/>
          </w:tcPr>
          <w:p w14:paraId="64DAE857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2.1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65%)</w:t>
            </w:r>
          </w:p>
        </w:tc>
      </w:tr>
      <w:tr w:rsidR="00EC2482" w:rsidRPr="00807385" w14:paraId="7F31BF92" w14:textId="77777777" w:rsidTr="008D1908">
        <w:tc>
          <w:tcPr>
            <w:tcW w:w="4505" w:type="dxa"/>
          </w:tcPr>
          <w:p w14:paraId="30F7DF3C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Economic Policy</w:t>
            </w:r>
          </w:p>
        </w:tc>
        <w:tc>
          <w:tcPr>
            <w:tcW w:w="4505" w:type="dxa"/>
          </w:tcPr>
          <w:p w14:paraId="303BBF97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2.2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58%)</w:t>
            </w:r>
          </w:p>
        </w:tc>
      </w:tr>
      <w:tr w:rsidR="00EC2482" w:rsidRPr="00807385" w14:paraId="2B39AE91" w14:textId="77777777" w:rsidTr="008D1908">
        <w:tc>
          <w:tcPr>
            <w:tcW w:w="4505" w:type="dxa"/>
          </w:tcPr>
          <w:p w14:paraId="328F3B53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Political Science</w:t>
            </w:r>
          </w:p>
        </w:tc>
        <w:tc>
          <w:tcPr>
            <w:tcW w:w="4505" w:type="dxa"/>
          </w:tcPr>
          <w:p w14:paraId="3BE3BF96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2.1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64%)</w:t>
            </w:r>
          </w:p>
        </w:tc>
      </w:tr>
      <w:tr w:rsidR="00EC2482" w:rsidRPr="00807385" w14:paraId="5AB69089" w14:textId="77777777" w:rsidTr="008D1908">
        <w:trPr>
          <w:trHeight w:val="255"/>
        </w:trPr>
        <w:tc>
          <w:tcPr>
            <w:tcW w:w="4505" w:type="dxa"/>
          </w:tcPr>
          <w:p w14:paraId="5EEAB8AE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r w:rsidRPr="00807385">
              <w:rPr>
                <w:sz w:val="24"/>
                <w:szCs w:val="24"/>
                <w:lang w:val="en-IE"/>
              </w:rPr>
              <w:t>Introduction to Sociology</w:t>
            </w:r>
          </w:p>
        </w:tc>
        <w:tc>
          <w:tcPr>
            <w:tcW w:w="4505" w:type="dxa"/>
          </w:tcPr>
          <w:p w14:paraId="6DBBDA67" w14:textId="77777777" w:rsidR="00EC2482" w:rsidRPr="00807385" w:rsidRDefault="00EC2482" w:rsidP="008D1908">
            <w:pPr>
              <w:rPr>
                <w:sz w:val="24"/>
                <w:szCs w:val="24"/>
                <w:lang w:val="en-IE"/>
              </w:rPr>
            </w:pPr>
            <w:proofErr w:type="gramStart"/>
            <w:r w:rsidRPr="00807385">
              <w:rPr>
                <w:sz w:val="24"/>
                <w:szCs w:val="24"/>
                <w:lang w:val="en-IE"/>
              </w:rPr>
              <w:t>2.1</w:t>
            </w:r>
            <w:r>
              <w:rPr>
                <w:sz w:val="24"/>
                <w:szCs w:val="24"/>
                <w:lang w:val="en-IE"/>
              </w:rPr>
              <w:t xml:space="preserve">  (</w:t>
            </w:r>
            <w:proofErr w:type="gramEnd"/>
            <w:r>
              <w:rPr>
                <w:sz w:val="24"/>
                <w:szCs w:val="24"/>
                <w:lang w:val="en-IE"/>
              </w:rPr>
              <w:t>62%)</w:t>
            </w:r>
          </w:p>
        </w:tc>
      </w:tr>
    </w:tbl>
    <w:p w14:paraId="28D3BFFF" w14:textId="77777777" w:rsidR="00EC2482" w:rsidRDefault="00EC2482" w:rsidP="00EC248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C2482" w14:paraId="31E1BA94" w14:textId="77777777" w:rsidTr="008D1908">
        <w:tc>
          <w:tcPr>
            <w:tcW w:w="4508" w:type="dxa"/>
          </w:tcPr>
          <w:p w14:paraId="5E796683" w14:textId="77777777" w:rsidR="00EC2482" w:rsidRDefault="00EC2482" w:rsidP="008D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Second Year Final Results</w:t>
            </w:r>
          </w:p>
        </w:tc>
        <w:tc>
          <w:tcPr>
            <w:tcW w:w="4508" w:type="dxa"/>
          </w:tcPr>
          <w:p w14:paraId="725E975D" w14:textId="77777777" w:rsidR="00EC2482" w:rsidRDefault="00EC2482" w:rsidP="008D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</w:tr>
      <w:tr w:rsidR="00EC2482" w14:paraId="0E6A3E24" w14:textId="77777777" w:rsidTr="008D1908">
        <w:tc>
          <w:tcPr>
            <w:tcW w:w="4508" w:type="dxa"/>
          </w:tcPr>
          <w:p w14:paraId="3BBF99E8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Land Law</w:t>
            </w:r>
          </w:p>
        </w:tc>
        <w:tc>
          <w:tcPr>
            <w:tcW w:w="4508" w:type="dxa"/>
          </w:tcPr>
          <w:p w14:paraId="40802077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r w:rsidRPr="00C5601B">
              <w:rPr>
                <w:sz w:val="24"/>
                <w:szCs w:val="24"/>
              </w:rPr>
              <w:t>2.1   (67%)</w:t>
            </w:r>
          </w:p>
        </w:tc>
      </w:tr>
      <w:tr w:rsidR="00EC2482" w14:paraId="467E0920" w14:textId="77777777" w:rsidTr="008D1908">
        <w:tc>
          <w:tcPr>
            <w:tcW w:w="4508" w:type="dxa"/>
          </w:tcPr>
          <w:p w14:paraId="1CDE9471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Criminal Law</w:t>
            </w:r>
          </w:p>
        </w:tc>
        <w:tc>
          <w:tcPr>
            <w:tcW w:w="4508" w:type="dxa"/>
          </w:tcPr>
          <w:p w14:paraId="21F170B8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proofErr w:type="gramStart"/>
            <w:r w:rsidRPr="00C5601B">
              <w:rPr>
                <w:sz w:val="24"/>
                <w:szCs w:val="24"/>
              </w:rPr>
              <w:t>2.1  (</w:t>
            </w:r>
            <w:proofErr w:type="gramEnd"/>
            <w:r w:rsidRPr="00C5601B">
              <w:rPr>
                <w:sz w:val="24"/>
                <w:szCs w:val="24"/>
              </w:rPr>
              <w:t>61%)</w:t>
            </w:r>
          </w:p>
        </w:tc>
      </w:tr>
      <w:tr w:rsidR="00EC2482" w14:paraId="387BBE19" w14:textId="77777777" w:rsidTr="008D1908">
        <w:tc>
          <w:tcPr>
            <w:tcW w:w="4508" w:type="dxa"/>
          </w:tcPr>
          <w:p w14:paraId="6C30F8FF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Constitutional Law</w:t>
            </w:r>
          </w:p>
        </w:tc>
        <w:tc>
          <w:tcPr>
            <w:tcW w:w="4508" w:type="dxa"/>
          </w:tcPr>
          <w:p w14:paraId="2DCD4FD1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r w:rsidRPr="00C5601B">
              <w:rPr>
                <w:sz w:val="24"/>
                <w:szCs w:val="24"/>
              </w:rPr>
              <w:t>2.2   (51%)</w:t>
            </w:r>
          </w:p>
        </w:tc>
      </w:tr>
      <w:tr w:rsidR="00EC2482" w14:paraId="64351D18" w14:textId="77777777" w:rsidTr="008D1908">
        <w:trPr>
          <w:trHeight w:val="591"/>
        </w:trPr>
        <w:tc>
          <w:tcPr>
            <w:tcW w:w="4508" w:type="dxa"/>
          </w:tcPr>
          <w:p w14:paraId="7E388F42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International Relations</w:t>
            </w:r>
          </w:p>
        </w:tc>
        <w:tc>
          <w:tcPr>
            <w:tcW w:w="4508" w:type="dxa"/>
          </w:tcPr>
          <w:p w14:paraId="5ADCD06F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proofErr w:type="gramStart"/>
            <w:r w:rsidRPr="00C5601B">
              <w:rPr>
                <w:sz w:val="24"/>
                <w:szCs w:val="24"/>
              </w:rPr>
              <w:t>2.1  (</w:t>
            </w:r>
            <w:proofErr w:type="gramEnd"/>
            <w:r w:rsidRPr="00C5601B">
              <w:rPr>
                <w:sz w:val="24"/>
                <w:szCs w:val="24"/>
              </w:rPr>
              <w:t>65%)</w:t>
            </w:r>
          </w:p>
        </w:tc>
      </w:tr>
      <w:tr w:rsidR="00EC2482" w14:paraId="24B4163F" w14:textId="77777777" w:rsidTr="008D1908">
        <w:tc>
          <w:tcPr>
            <w:tcW w:w="4508" w:type="dxa"/>
          </w:tcPr>
          <w:p w14:paraId="64AA1BB3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History of Political Thought</w:t>
            </w:r>
          </w:p>
        </w:tc>
        <w:tc>
          <w:tcPr>
            <w:tcW w:w="4508" w:type="dxa"/>
          </w:tcPr>
          <w:p w14:paraId="6CF59723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proofErr w:type="gramStart"/>
            <w:r w:rsidRPr="00C5601B">
              <w:rPr>
                <w:sz w:val="24"/>
                <w:szCs w:val="24"/>
              </w:rPr>
              <w:t>2.1  (</w:t>
            </w:r>
            <w:proofErr w:type="gramEnd"/>
            <w:r w:rsidRPr="00C5601B">
              <w:rPr>
                <w:sz w:val="24"/>
                <w:szCs w:val="24"/>
              </w:rPr>
              <w:t>64%)</w:t>
            </w:r>
          </w:p>
        </w:tc>
      </w:tr>
      <w:tr w:rsidR="00EC2482" w14:paraId="5D93CF09" w14:textId="77777777" w:rsidTr="008D1908">
        <w:tc>
          <w:tcPr>
            <w:tcW w:w="4508" w:type="dxa"/>
          </w:tcPr>
          <w:p w14:paraId="2BC64488" w14:textId="77777777" w:rsidR="00EC2482" w:rsidRPr="00FD45A2" w:rsidRDefault="00EC2482" w:rsidP="008D1908">
            <w:pPr>
              <w:rPr>
                <w:sz w:val="24"/>
                <w:szCs w:val="24"/>
              </w:rPr>
            </w:pPr>
            <w:r w:rsidRPr="00FD45A2">
              <w:rPr>
                <w:sz w:val="24"/>
                <w:szCs w:val="24"/>
              </w:rPr>
              <w:t>Comparative Politics</w:t>
            </w:r>
          </w:p>
        </w:tc>
        <w:tc>
          <w:tcPr>
            <w:tcW w:w="4508" w:type="dxa"/>
          </w:tcPr>
          <w:p w14:paraId="703FE07B" w14:textId="77777777" w:rsidR="00EC2482" w:rsidRPr="00C5601B" w:rsidRDefault="00EC2482" w:rsidP="008D1908">
            <w:pPr>
              <w:rPr>
                <w:sz w:val="24"/>
                <w:szCs w:val="24"/>
              </w:rPr>
            </w:pPr>
            <w:proofErr w:type="gramStart"/>
            <w:r w:rsidRPr="00C5601B">
              <w:rPr>
                <w:sz w:val="24"/>
                <w:szCs w:val="24"/>
              </w:rPr>
              <w:t>2.1  (</w:t>
            </w:r>
            <w:proofErr w:type="gramEnd"/>
            <w:r w:rsidRPr="00C5601B">
              <w:rPr>
                <w:sz w:val="24"/>
                <w:szCs w:val="24"/>
              </w:rPr>
              <w:t>60%)</w:t>
            </w:r>
          </w:p>
        </w:tc>
      </w:tr>
    </w:tbl>
    <w:p w14:paraId="0BEDA6FB" w14:textId="77777777" w:rsidR="0079675C" w:rsidRPr="00807385" w:rsidRDefault="0079675C">
      <w:pPr>
        <w:rPr>
          <w:b/>
          <w:sz w:val="24"/>
          <w:szCs w:val="24"/>
          <w:lang w:val="en-IE"/>
        </w:rPr>
      </w:pPr>
    </w:p>
    <w:p w14:paraId="1BBFF2FD" w14:textId="3EF02824" w:rsidR="002752AF" w:rsidRDefault="002752AF" w:rsidP="002752AF">
      <w:pPr>
        <w:ind w:left="2880" w:hanging="2880"/>
        <w:rPr>
          <w:sz w:val="24"/>
          <w:szCs w:val="24"/>
          <w:lang w:val="en-IE"/>
        </w:rPr>
      </w:pPr>
      <w:r w:rsidRPr="000D2169">
        <w:rPr>
          <w:b/>
          <w:sz w:val="24"/>
          <w:szCs w:val="24"/>
          <w:lang w:val="en-IE"/>
        </w:rPr>
        <w:t xml:space="preserve">Humboldt </w:t>
      </w:r>
      <w:proofErr w:type="spellStart"/>
      <w:r w:rsidRPr="000D2169">
        <w:rPr>
          <w:b/>
          <w:sz w:val="24"/>
          <w:szCs w:val="24"/>
          <w:lang w:val="en-IE"/>
        </w:rPr>
        <w:t>Institut</w:t>
      </w:r>
      <w:proofErr w:type="spellEnd"/>
      <w:r w:rsidRPr="000D2169">
        <w:rPr>
          <w:b/>
          <w:sz w:val="24"/>
          <w:szCs w:val="24"/>
          <w:lang w:val="en-IE"/>
        </w:rPr>
        <w:t>:</w:t>
      </w:r>
      <w:r>
        <w:rPr>
          <w:b/>
          <w:sz w:val="28"/>
          <w:szCs w:val="28"/>
          <w:lang w:val="en-IE"/>
        </w:rPr>
        <w:t xml:space="preserve"> </w:t>
      </w:r>
      <w:r>
        <w:rPr>
          <w:b/>
          <w:sz w:val="28"/>
          <w:szCs w:val="28"/>
          <w:lang w:val="en-IE"/>
        </w:rPr>
        <w:tab/>
      </w:r>
      <w:r>
        <w:rPr>
          <w:sz w:val="24"/>
          <w:szCs w:val="24"/>
          <w:lang w:val="en-IE"/>
        </w:rPr>
        <w:t xml:space="preserve">During my Transition Year I studied at Humboldt </w:t>
      </w:r>
      <w:proofErr w:type="spellStart"/>
      <w:r>
        <w:rPr>
          <w:sz w:val="24"/>
          <w:szCs w:val="24"/>
          <w:lang w:val="en-IE"/>
        </w:rPr>
        <w:t>Institut</w:t>
      </w:r>
      <w:proofErr w:type="spellEnd"/>
      <w:r>
        <w:rPr>
          <w:sz w:val="24"/>
          <w:szCs w:val="24"/>
          <w:lang w:val="en-IE"/>
        </w:rPr>
        <w:t xml:space="preserve"> in Munich. Such an experience developed not only my fluency in the German language but also developed a key ability to live and work independently.</w:t>
      </w:r>
      <w:r w:rsidR="004464BF" w:rsidRPr="004464BF">
        <w:rPr>
          <w:sz w:val="24"/>
          <w:szCs w:val="24"/>
        </w:rPr>
        <w:t xml:space="preserve"> </w:t>
      </w:r>
      <w:r w:rsidR="004464BF">
        <w:rPr>
          <w:sz w:val="24"/>
          <w:szCs w:val="24"/>
        </w:rPr>
        <w:t>Throughout my time there I learned how to communicat</w:t>
      </w:r>
      <w:r w:rsidR="003B27C4">
        <w:rPr>
          <w:sz w:val="24"/>
          <w:szCs w:val="24"/>
        </w:rPr>
        <w:t>e and engage with people of different</w:t>
      </w:r>
      <w:r w:rsidR="004464BF">
        <w:rPr>
          <w:sz w:val="24"/>
          <w:szCs w:val="24"/>
        </w:rPr>
        <w:t xml:space="preserve"> backgrounds despite the language barrier. I would describe my command of German as advanced.</w:t>
      </w:r>
    </w:p>
    <w:p w14:paraId="5D00EDE0" w14:textId="16D0AC44" w:rsidR="00807385" w:rsidRPr="00807385" w:rsidRDefault="0079675C">
      <w:pPr>
        <w:rPr>
          <w:b/>
          <w:sz w:val="28"/>
          <w:szCs w:val="28"/>
          <w:lang w:val="en-IE"/>
        </w:rPr>
      </w:pPr>
      <w:r w:rsidRPr="00807385">
        <w:rPr>
          <w:b/>
          <w:sz w:val="28"/>
          <w:szCs w:val="28"/>
          <w:lang w:val="en-IE"/>
        </w:rPr>
        <w:t xml:space="preserve">Employment </w:t>
      </w:r>
      <w:r w:rsidR="004464BF">
        <w:rPr>
          <w:b/>
          <w:sz w:val="28"/>
          <w:szCs w:val="28"/>
          <w:lang w:val="en-IE"/>
        </w:rPr>
        <w:t>and Experience</w:t>
      </w:r>
      <w:r w:rsidR="001C086A">
        <w:rPr>
          <w:b/>
          <w:sz w:val="28"/>
          <w:szCs w:val="28"/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6288"/>
      </w:tblGrid>
      <w:tr w:rsidR="004464BF" w:rsidRPr="00807385" w14:paraId="17316EEE" w14:textId="77777777" w:rsidTr="004464BF">
        <w:trPr>
          <w:trHeight w:val="5216"/>
        </w:trPr>
        <w:tc>
          <w:tcPr>
            <w:tcW w:w="2722" w:type="dxa"/>
          </w:tcPr>
          <w:p w14:paraId="7D7404E4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66EC9510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1D1F78EE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5B6F0E70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4E89BF92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15871890" w14:textId="77777777" w:rsidR="004464BF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</w:p>
          <w:p w14:paraId="7AC5FB97" w14:textId="77777777" w:rsidR="004464BF" w:rsidRPr="00F7275E" w:rsidRDefault="004464BF" w:rsidP="008D1908">
            <w:pPr>
              <w:spacing w:after="0" w:line="240" w:lineRule="auto"/>
              <w:rPr>
                <w:sz w:val="24"/>
                <w:szCs w:val="24"/>
              </w:rPr>
            </w:pPr>
            <w:r w:rsidRPr="00F7275E">
              <w:rPr>
                <w:sz w:val="24"/>
                <w:szCs w:val="24"/>
              </w:rPr>
              <w:t>Premier Insulations Ltd</w:t>
            </w:r>
          </w:p>
          <w:p w14:paraId="30AA0CCB" w14:textId="1851C14D" w:rsidR="004464BF" w:rsidRDefault="004464BF" w:rsidP="00F7275E">
            <w:pPr>
              <w:spacing w:after="0" w:line="240" w:lineRule="auto"/>
              <w:rPr>
                <w:sz w:val="24"/>
                <w:szCs w:val="24"/>
              </w:rPr>
            </w:pPr>
            <w:r w:rsidRPr="00F7275E">
              <w:rPr>
                <w:sz w:val="24"/>
                <w:szCs w:val="24"/>
              </w:rPr>
              <w:t>Summer 2016</w:t>
            </w:r>
          </w:p>
        </w:tc>
        <w:tc>
          <w:tcPr>
            <w:tcW w:w="6288" w:type="dxa"/>
          </w:tcPr>
          <w:p w14:paraId="13715AC0" w14:textId="77777777" w:rsidR="004464BF" w:rsidRDefault="004464BF" w:rsidP="008D1908">
            <w:pPr>
              <w:spacing w:after="0" w:line="240" w:lineRule="auto"/>
              <w:rPr>
                <w:bCs/>
                <w:color w:val="0D0D0D" w:themeColor="text1" w:themeTint="F2"/>
              </w:rPr>
            </w:pPr>
          </w:p>
          <w:p w14:paraId="7EB33EEE" w14:textId="77777777" w:rsidR="004464BF" w:rsidRPr="00EC2482" w:rsidRDefault="004464BF" w:rsidP="008D1908">
            <w:pPr>
              <w:spacing w:after="0" w:line="240" w:lineRule="auto"/>
              <w:rPr>
                <w:b/>
                <w:bCs/>
                <w:color w:val="0D0D0D" w:themeColor="text1" w:themeTint="F2"/>
              </w:rPr>
            </w:pPr>
            <w:r w:rsidRPr="00EC2482">
              <w:rPr>
                <w:bCs/>
                <w:color w:val="0D0D0D" w:themeColor="text1" w:themeTint="F2"/>
              </w:rPr>
              <w:t>I Experienced key legal and commercial aspects of working in a nationwide firm. My role included:</w:t>
            </w:r>
          </w:p>
          <w:p w14:paraId="3D821FBB" w14:textId="77777777" w:rsidR="004464BF" w:rsidRPr="00EC2482" w:rsidRDefault="004464BF" w:rsidP="008D1908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2482">
              <w:rPr>
                <w:color w:val="0D0D0D" w:themeColor="text1" w:themeTint="F2"/>
                <w:lang w:val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Researching the procurement of a NSAI </w:t>
            </w:r>
            <w:proofErr w:type="spellStart"/>
            <w:r w:rsidRPr="00EC2482">
              <w:rPr>
                <w:color w:val="0D0D0D" w:themeColor="text1" w:themeTint="F2"/>
                <w:lang w:val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Agrément</w:t>
            </w:r>
            <w:proofErr w:type="spellEnd"/>
            <w:r w:rsidRPr="00EC2482">
              <w:rPr>
                <w:color w:val="0D0D0D" w:themeColor="text1" w:themeTint="F2"/>
                <w:lang w:val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certification</w:t>
            </w:r>
            <w:r w:rsidRPr="00EC2482"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40818BB" w14:textId="1E40B0BE" w:rsidR="004464BF" w:rsidRPr="00EC2482" w:rsidRDefault="004464BF" w:rsidP="008D190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2482"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Participating in meetings with</w:t>
            </w:r>
            <w:r w:rsidR="003B27C4"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</w:t>
            </w:r>
            <w:r w:rsidRPr="00EC2482"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Managing Directo</w:t>
            </w:r>
            <w:r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and solicitor in relation to a Small Claims C</w:t>
            </w:r>
            <w:r w:rsidRPr="00EC2482">
              <w:rPr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ourt case.</w:t>
            </w:r>
          </w:p>
          <w:p w14:paraId="05A9A8EF" w14:textId="77777777" w:rsidR="004464BF" w:rsidRPr="00EC2482" w:rsidRDefault="004464BF" w:rsidP="008D190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D0D0D" w:themeColor="text1" w:themeTint="F2"/>
                <w:lang w:val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2482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Accompanying the Managing Director to Davy Investment Annual Conference and listening to keynote speakers addressing the current commercial challenges and opportunities facing Ireland.</w:t>
            </w:r>
          </w:p>
          <w:p w14:paraId="06B98BB6" w14:textId="58C29AFC" w:rsidR="004464BF" w:rsidRPr="004464BF" w:rsidRDefault="004464BF" w:rsidP="004464BF">
            <w:pPr>
              <w:pStyle w:val="ListParagraph"/>
              <w:numPr>
                <w:ilvl w:val="0"/>
                <w:numId w:val="1"/>
              </w:numPr>
              <w:spacing w:after="0"/>
              <w:rPr>
                <w:bCs/>
                <w:color w:val="0D0D0D" w:themeColor="text1" w:themeTint="F2"/>
              </w:rPr>
            </w:pPr>
            <w:r w:rsidRPr="004464BF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Manual </w:t>
            </w:r>
            <w:proofErr w:type="spellStart"/>
            <w:r w:rsidRPr="004464BF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labour</w:t>
            </w:r>
            <w:proofErr w:type="spellEnd"/>
            <w:r w:rsidRPr="004464BF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including power washing, loading of vans and the maintenance of the warehouse.</w:t>
            </w:r>
          </w:p>
        </w:tc>
      </w:tr>
      <w:tr w:rsidR="004464BF" w:rsidRPr="00807385" w14:paraId="0E422EF8" w14:textId="77777777" w:rsidTr="004464BF">
        <w:trPr>
          <w:trHeight w:val="352"/>
        </w:trPr>
        <w:tc>
          <w:tcPr>
            <w:tcW w:w="2722" w:type="dxa"/>
          </w:tcPr>
          <w:p w14:paraId="4D284685" w14:textId="502F946B" w:rsidR="004464BF" w:rsidRPr="000D2169" w:rsidRDefault="004464BF" w:rsidP="00F7275E">
            <w:pPr>
              <w:spacing w:after="0" w:line="240" w:lineRule="auto"/>
              <w:rPr>
                <w:sz w:val="26"/>
                <w:szCs w:val="26"/>
              </w:rPr>
            </w:pPr>
            <w:r w:rsidRPr="000D2169">
              <w:rPr>
                <w:sz w:val="26"/>
                <w:szCs w:val="26"/>
              </w:rPr>
              <w:t>McCann FitzGerald Law First Day</w:t>
            </w:r>
          </w:p>
          <w:p w14:paraId="53A24043" w14:textId="606DF1E1" w:rsidR="004464BF" w:rsidRPr="000D2169" w:rsidRDefault="004464BF" w:rsidP="00F7275E">
            <w:pPr>
              <w:spacing w:after="0" w:line="240" w:lineRule="auto"/>
              <w:rPr>
                <w:sz w:val="26"/>
                <w:szCs w:val="26"/>
              </w:rPr>
            </w:pPr>
            <w:r w:rsidRPr="000D2169">
              <w:rPr>
                <w:sz w:val="26"/>
                <w:szCs w:val="26"/>
              </w:rPr>
              <w:t>A&amp;L Goodbody Law Start Day</w:t>
            </w:r>
          </w:p>
        </w:tc>
        <w:tc>
          <w:tcPr>
            <w:tcW w:w="6288" w:type="dxa"/>
          </w:tcPr>
          <w:p w14:paraId="12883411" w14:textId="6BD74F7B" w:rsidR="004464BF" w:rsidRPr="004464BF" w:rsidRDefault="004464BF" w:rsidP="004464BF">
            <w:pPr>
              <w:spacing w:after="0"/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opportunity to shadow trainees at A&amp;L Goodbody and sit for lunch with partners at McCann FitzGerald </w:t>
            </w:r>
            <w:r w:rsidR="000D2169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educated me on the role </w:t>
            </w:r>
            <w:r w:rsidR="000D2169">
              <w:rPr>
                <w:bCs/>
                <w:color w:val="0D0D0D" w:themeColor="text1" w:themeTint="F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of recent graduates in a corporate law firm and cemented my resolve to venture into corporate law upon graduating.</w:t>
            </w:r>
          </w:p>
        </w:tc>
      </w:tr>
      <w:tr w:rsidR="004464BF" w:rsidRPr="00807385" w14:paraId="54D2D4E5" w14:textId="77777777" w:rsidTr="00F7275E">
        <w:tc>
          <w:tcPr>
            <w:tcW w:w="2722" w:type="dxa"/>
          </w:tcPr>
          <w:p w14:paraId="19E55442" w14:textId="77777777" w:rsidR="003B27C4" w:rsidRDefault="004464BF" w:rsidP="009E1746">
            <w:pPr>
              <w:pStyle w:val="NormalWeb"/>
              <w:rPr>
                <w:rFonts w:asciiTheme="minorHAnsi" w:hAnsiTheme="minorHAnsi"/>
                <w:color w:val="1A1A1A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lastRenderedPageBreak/>
              <w:t>Superintendent</w:t>
            </w:r>
            <w:r w:rsidRPr="00807385">
              <w:rPr>
                <w:rFonts w:asciiTheme="minorHAnsi" w:hAnsiTheme="minorHAnsi" w:cs="ArialMT"/>
                <w:color w:val="1A1A1A"/>
                <w:sz w:val="24"/>
                <w:szCs w:val="24"/>
              </w:rPr>
              <w:t>/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reader Junior Certificate</w:t>
            </w:r>
          </w:p>
          <w:p w14:paraId="07B29A79" w14:textId="0DDE377B" w:rsidR="004464BF" w:rsidRDefault="004464BF" w:rsidP="009E1746">
            <w:pPr>
              <w:pStyle w:val="NormalWeb"/>
              <w:rPr>
                <w:rFonts w:asciiTheme="minorHAnsi" w:hAnsiTheme="minorHAnsi"/>
                <w:color w:val="1A1A1A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3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rd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>- 15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June 2015</w:t>
            </w:r>
          </w:p>
          <w:p w14:paraId="32C91D53" w14:textId="14263C55" w:rsidR="003B27C4" w:rsidRPr="00807385" w:rsidRDefault="003B27C4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1A1A1A"/>
                <w:sz w:val="24"/>
                <w:szCs w:val="24"/>
              </w:rPr>
              <w:t>8</w:t>
            </w:r>
            <w:r w:rsidRPr="003B27C4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color w:val="1A1A1A"/>
                <w:sz w:val="24"/>
                <w:szCs w:val="24"/>
              </w:rPr>
              <w:t>-17</w:t>
            </w:r>
            <w:r w:rsidRPr="003B27C4">
              <w:rPr>
                <w:rFonts w:asciiTheme="minorHAnsi" w:hAnsiTheme="minorHAnsi"/>
                <w:color w:val="1A1A1A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color w:val="1A1A1A"/>
                <w:sz w:val="24"/>
                <w:szCs w:val="24"/>
              </w:rPr>
              <w:t xml:space="preserve"> June 2016</w:t>
            </w:r>
          </w:p>
          <w:p w14:paraId="69DCBD3E" w14:textId="77777777" w:rsidR="004464BF" w:rsidRPr="00807385" w:rsidRDefault="004464BF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5454D095" w14:textId="77777777" w:rsidR="004464BF" w:rsidRPr="00807385" w:rsidRDefault="004464BF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During the State Examinations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of 2015 I was employed by the State Examination C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ommission, through St. Brendan</w:t>
            </w:r>
            <w:r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s Community School to act as superintendent and reader to a student with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disability. I was entrusted with both up keeping the sanctity of the state examination and ensuring the relevant student was in an atmosphere most beneficial and constructive to his condition</w:t>
            </w:r>
          </w:p>
        </w:tc>
      </w:tr>
      <w:tr w:rsidR="004464BF" w:rsidRPr="00807385" w14:paraId="12119D15" w14:textId="77777777" w:rsidTr="00F7275E">
        <w:tc>
          <w:tcPr>
            <w:tcW w:w="2722" w:type="dxa"/>
          </w:tcPr>
          <w:p w14:paraId="0A7A6BF5" w14:textId="77777777" w:rsidR="004464BF" w:rsidRDefault="004464BF" w:rsidP="00807385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73E3D31" w14:textId="77777777" w:rsidR="004464BF" w:rsidRPr="00807385" w:rsidRDefault="004464BF" w:rsidP="00807385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Ardchinnire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Coláiste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Sheosaimh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July 17</w:t>
            </w:r>
            <w:r w:rsidRPr="00807385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-Aug 7</w:t>
            </w:r>
            <w:r w:rsidRPr="00807385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 2015</w:t>
            </w:r>
          </w:p>
          <w:p w14:paraId="69BE5F22" w14:textId="77777777" w:rsidR="004464BF" w:rsidRPr="00807385" w:rsidRDefault="004464BF" w:rsidP="00807385">
            <w:pPr>
              <w:jc w:val="center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47548F7E" w14:textId="77777777" w:rsidR="004464BF" w:rsidRPr="00807385" w:rsidRDefault="004464BF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As an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Ardchinnire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in a language school catering to four hundred students, my tasks involved aiding in clerical and administrative work. This involved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organising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post to and from the college, establishing an internal bank for the students, developing a daily timetable to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maximise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both the learning and entertainment aspects of the course, and ensuring the rules and regulations of the college were upheld.</w:t>
            </w:r>
          </w:p>
        </w:tc>
      </w:tr>
      <w:tr w:rsidR="004464BF" w:rsidRPr="00807385" w14:paraId="49202B87" w14:textId="77777777" w:rsidTr="00F7275E">
        <w:tc>
          <w:tcPr>
            <w:tcW w:w="2722" w:type="dxa"/>
          </w:tcPr>
          <w:p w14:paraId="158C47C2" w14:textId="77777777" w:rsidR="004464BF" w:rsidRDefault="004464BF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8C3ECF8" w14:textId="77777777" w:rsidR="004464BF" w:rsidRPr="00807385" w:rsidRDefault="004464BF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Youth Club Volunteer Leader 2012-2014</w:t>
            </w:r>
          </w:p>
          <w:p w14:paraId="1F66C4BB" w14:textId="77777777" w:rsidR="004464BF" w:rsidRPr="00807385" w:rsidRDefault="004464BF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4495FD38" w14:textId="77777777" w:rsidR="004464BF" w:rsidRPr="00807385" w:rsidRDefault="004464BF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As an active member of the local community, I was involved with the establishment of a new youth club in my local vicinity to cater for the needs of local primary school students. After its establishment, I continued my role through overseeing weekly events and aiding in the development of a weekly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programme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464BF" w:rsidRPr="00807385" w14:paraId="292BE058" w14:textId="77777777" w:rsidTr="00F7275E">
        <w:tc>
          <w:tcPr>
            <w:tcW w:w="2722" w:type="dxa"/>
          </w:tcPr>
          <w:p w14:paraId="41A9A855" w14:textId="77777777" w:rsidR="004464BF" w:rsidRDefault="004464BF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232C03E" w14:textId="77777777" w:rsidR="004464BF" w:rsidRPr="00807385" w:rsidRDefault="004464BF" w:rsidP="0079675C">
            <w:pPr>
              <w:pStyle w:val="NormalWeb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School Shop Volunteer 2013-2015</w:t>
            </w:r>
          </w:p>
          <w:p w14:paraId="20060170" w14:textId="77777777" w:rsidR="004464BF" w:rsidRPr="00807385" w:rsidRDefault="004464BF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6288" w:type="dxa"/>
          </w:tcPr>
          <w:p w14:paraId="2171E35B" w14:textId="77777777" w:rsidR="004464BF" w:rsidRPr="00807385" w:rsidRDefault="004464BF" w:rsidP="00807385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I played an active role in my school community throughout my time at St. Brendan</w:t>
            </w:r>
            <w:r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s Community School. I was entrusted with ensuring stock was adequate and cash tills had sufficient change.</w:t>
            </w:r>
          </w:p>
        </w:tc>
      </w:tr>
    </w:tbl>
    <w:p w14:paraId="134A51FC" w14:textId="77777777" w:rsidR="0079675C" w:rsidRPr="00807385" w:rsidRDefault="0079675C">
      <w:pPr>
        <w:rPr>
          <w:b/>
          <w:sz w:val="24"/>
          <w:szCs w:val="24"/>
          <w:lang w:val="en-IE"/>
        </w:rPr>
      </w:pPr>
    </w:p>
    <w:p w14:paraId="69A49122" w14:textId="77777777" w:rsidR="009E1746" w:rsidRPr="000D2169" w:rsidRDefault="009E1746">
      <w:pPr>
        <w:rPr>
          <w:b/>
          <w:sz w:val="28"/>
          <w:szCs w:val="28"/>
          <w:lang w:val="en-IE"/>
        </w:rPr>
      </w:pPr>
      <w:r w:rsidRPr="000D2169">
        <w:rPr>
          <w:b/>
          <w:sz w:val="28"/>
          <w:szCs w:val="28"/>
          <w:lang w:val="en-IE"/>
        </w:rPr>
        <w:t>Interests and Achievements</w:t>
      </w:r>
      <w:r w:rsidR="00807385" w:rsidRPr="000D2169">
        <w:rPr>
          <w:b/>
          <w:sz w:val="28"/>
          <w:szCs w:val="28"/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1C086A" w:rsidRPr="00807385" w14:paraId="78E11E3E" w14:textId="77777777" w:rsidTr="001C086A">
        <w:trPr>
          <w:trHeight w:val="2073"/>
        </w:trPr>
        <w:tc>
          <w:tcPr>
            <w:tcW w:w="3539" w:type="dxa"/>
          </w:tcPr>
          <w:p w14:paraId="6960B01F" w14:textId="77777777" w:rsidR="009E1746" w:rsidRPr="001C086A" w:rsidRDefault="009E1746" w:rsidP="001C086A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Gaisce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(The President's Award) bronze and silver medal. Currently in the process of achieving gold award.</w:t>
            </w:r>
          </w:p>
        </w:tc>
        <w:tc>
          <w:tcPr>
            <w:tcW w:w="5471" w:type="dxa"/>
          </w:tcPr>
          <w:p w14:paraId="3D518F3F" w14:textId="77777777" w:rsidR="001C086A" w:rsidRDefault="001C086A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CF132A2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progression through the President's Award from bronze to gold highlights my determination, willingness to rise to a challenge and impulse to give back to the community.</w:t>
            </w:r>
          </w:p>
          <w:p w14:paraId="4C306D62" w14:textId="77777777" w:rsidR="009E1746" w:rsidRPr="00807385" w:rsidRDefault="009E1746" w:rsidP="009E1746">
            <w:pPr>
              <w:ind w:firstLine="720"/>
              <w:rPr>
                <w:sz w:val="24"/>
                <w:szCs w:val="24"/>
                <w:lang w:val="en-IE"/>
              </w:rPr>
            </w:pPr>
          </w:p>
        </w:tc>
      </w:tr>
      <w:tr w:rsidR="001C086A" w:rsidRPr="00807385" w14:paraId="697DADEB" w14:textId="77777777" w:rsidTr="001C086A">
        <w:trPr>
          <w:trHeight w:val="3078"/>
        </w:trPr>
        <w:tc>
          <w:tcPr>
            <w:tcW w:w="3539" w:type="dxa"/>
          </w:tcPr>
          <w:p w14:paraId="6F5221F6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lastRenderedPageBreak/>
              <w:t>Academic Student of the Year nomination 2013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CEDDADF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St. Brendan's Community School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Minihan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Cup Student of the Year Awardee 2014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BF26446" w14:textId="77777777" w:rsidR="009E1746" w:rsidRPr="00807385" w:rsidRDefault="009E1746" w:rsidP="0010441B">
            <w:pPr>
              <w:pStyle w:val="NormalWeb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Fáinne</w:t>
            </w:r>
            <w:proofErr w:type="spellEnd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>Óir</w:t>
            </w:r>
            <w:proofErr w:type="spellEnd"/>
            <w:r w:rsidRPr="0080738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Awardee 2014</w:t>
            </w:r>
          </w:p>
          <w:p w14:paraId="6CFD7AF0" w14:textId="77777777" w:rsidR="009E1746" w:rsidRPr="00807385" w:rsidRDefault="009E1746" w:rsidP="0010441B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53623B27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A842BA5" w14:textId="71AA248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It was a great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honou</w:t>
            </w:r>
            <w:r w:rsidR="003A44FD">
              <w:rPr>
                <w:rFonts w:asciiTheme="minorHAnsi" w:hAnsiTheme="minorHAnsi"/>
                <w:sz w:val="24"/>
                <w:szCs w:val="24"/>
              </w:rPr>
              <w:t>r</w:t>
            </w:r>
            <w:proofErr w:type="spellEnd"/>
            <w:r w:rsidR="003A44FD">
              <w:rPr>
                <w:rFonts w:asciiTheme="minorHAnsi" w:hAnsiTheme="minorHAnsi"/>
                <w:sz w:val="24"/>
                <w:szCs w:val="24"/>
              </w:rPr>
              <w:t xml:space="preserve"> to be awarded The </w:t>
            </w:r>
            <w:proofErr w:type="spellStart"/>
            <w:r w:rsidR="003A44FD">
              <w:rPr>
                <w:rFonts w:asciiTheme="minorHAnsi" w:hAnsiTheme="minorHAnsi"/>
                <w:sz w:val="24"/>
                <w:szCs w:val="24"/>
              </w:rPr>
              <w:t>Minihan</w:t>
            </w:r>
            <w:proofErr w:type="spellEnd"/>
            <w:r w:rsidR="003A44FD">
              <w:rPr>
                <w:rFonts w:asciiTheme="minorHAnsi" w:hAnsiTheme="minorHAnsi"/>
                <w:sz w:val="24"/>
                <w:szCs w:val="24"/>
              </w:rPr>
              <w:t xml:space="preserve"> Cup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. This is awarded every year to a sixth year student who is regarded to have strived </w:t>
            </w:r>
            <w:r w:rsidR="00433B37">
              <w:rPr>
                <w:rFonts w:asciiTheme="minorHAnsi" w:hAnsiTheme="minorHAnsi"/>
                <w:sz w:val="24"/>
                <w:szCs w:val="24"/>
              </w:rPr>
              <w:t>in every aspect of school life i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ncluding academia, sports and the arts.</w:t>
            </w:r>
          </w:p>
          <w:p w14:paraId="3B8B4909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433B37" w:rsidRPr="00807385" w14:paraId="2CEC2F12" w14:textId="77777777" w:rsidTr="00433B37">
        <w:trPr>
          <w:trHeight w:val="2155"/>
        </w:trPr>
        <w:tc>
          <w:tcPr>
            <w:tcW w:w="3539" w:type="dxa"/>
          </w:tcPr>
          <w:p w14:paraId="17E16623" w14:textId="64C5C180" w:rsidR="00433B37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Trinity College Dean’s Roll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Honour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Listee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2014.</w:t>
            </w:r>
          </w:p>
          <w:p w14:paraId="2F29B9AB" w14:textId="77777777" w:rsidR="00433B37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Trinity College Exhibition Awardee 2014</w:t>
            </w:r>
          </w:p>
          <w:p w14:paraId="119BF43C" w14:textId="0814A097" w:rsidR="00433B37" w:rsidRPr="00807385" w:rsidRDefault="00433B37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Trinity College Academic Books Bursary 2014</w:t>
            </w:r>
          </w:p>
        </w:tc>
        <w:tc>
          <w:tcPr>
            <w:tcW w:w="5471" w:type="dxa"/>
          </w:tcPr>
          <w:p w14:paraId="26FAFB17" w14:textId="77777777" w:rsidR="00433B37" w:rsidRDefault="00433B3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26F555E0" w14:textId="1A616F63" w:rsidR="00433B37" w:rsidRPr="00807385" w:rsidRDefault="00433B3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My dedication to Academic excellence was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honoured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by Trinity College through these Awards.</w:t>
            </w:r>
          </w:p>
        </w:tc>
      </w:tr>
      <w:tr w:rsidR="001C086A" w:rsidRPr="00807385" w14:paraId="291A8F3E" w14:textId="77777777" w:rsidTr="001C086A">
        <w:tc>
          <w:tcPr>
            <w:tcW w:w="3539" w:type="dxa"/>
          </w:tcPr>
          <w:p w14:paraId="1585ED6F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Padraig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Pearse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Gael Linn All-Ireland Debate finalist 2012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DF285BA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Gael Linn debate provincial winner 2012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C011892" w14:textId="77777777" w:rsidR="009E1746" w:rsidRPr="00807385" w:rsidRDefault="009E1746" w:rsidP="0010441B">
            <w:pPr>
              <w:pStyle w:val="NormalWeb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St Brendan's Community School debate victor 2009</w:t>
            </w:r>
            <w:r w:rsidR="0080738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1187761" w14:textId="77777777" w:rsidR="009E1746" w:rsidRPr="00807385" w:rsidRDefault="009E1746" w:rsidP="0010441B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22A86BBA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32398DD9" w14:textId="77777777" w:rsidR="0010441B" w:rsidRPr="00807385" w:rsidRDefault="0010441B" w:rsidP="0010441B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6503838D" w14:textId="00823EA7" w:rsidR="0010441B" w:rsidRPr="00807385" w:rsidRDefault="0010441B" w:rsidP="0010441B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success in the debating sphere portrays my capacity to</w:t>
            </w:r>
            <w:r w:rsidR="004464BF">
              <w:rPr>
                <w:rFonts w:asciiTheme="minorHAnsi" w:hAnsiTheme="minorHAnsi"/>
                <w:sz w:val="24"/>
                <w:szCs w:val="24"/>
              </w:rPr>
              <w:t xml:space="preserve"> dissect an issue and ability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 xml:space="preserve"> to argue opinions and factual matters in a clear, concise and logical way.</w:t>
            </w:r>
          </w:p>
          <w:p w14:paraId="52DAA5E1" w14:textId="77777777" w:rsidR="009E1746" w:rsidRPr="00807385" w:rsidRDefault="009E1746" w:rsidP="0010441B">
            <w:pPr>
              <w:pStyle w:val="NormalWeb"/>
              <w:rPr>
                <w:rFonts w:asciiTheme="minorHAnsi" w:hAnsiTheme="minorHAnsi"/>
                <w:b/>
                <w:sz w:val="24"/>
                <w:szCs w:val="24"/>
                <w:lang w:val="en-IE"/>
              </w:rPr>
            </w:pPr>
          </w:p>
        </w:tc>
      </w:tr>
      <w:tr w:rsidR="001C086A" w:rsidRPr="00807385" w14:paraId="1D77FD27" w14:textId="77777777" w:rsidTr="0062016C">
        <w:trPr>
          <w:trHeight w:val="3233"/>
        </w:trPr>
        <w:tc>
          <w:tcPr>
            <w:tcW w:w="3539" w:type="dxa"/>
          </w:tcPr>
          <w:p w14:paraId="7AF60394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lastRenderedPageBreak/>
              <w:t>St. Brendan</w:t>
            </w:r>
            <w:r w:rsidR="0010441B" w:rsidRPr="00807385">
              <w:rPr>
                <w:rFonts w:asciiTheme="minorHAnsi" w:hAnsiTheme="minorHAnsi"/>
                <w:sz w:val="24"/>
                <w:szCs w:val="24"/>
              </w:rPr>
              <w:t>’</w:t>
            </w:r>
            <w:r w:rsidRPr="00807385">
              <w:rPr>
                <w:rFonts w:asciiTheme="minorHAnsi" w:hAnsiTheme="minorHAnsi"/>
                <w:sz w:val="24"/>
                <w:szCs w:val="24"/>
              </w:rPr>
              <w:t>s Community School Sports Person of the Year Award 2013</w:t>
            </w:r>
          </w:p>
          <w:p w14:paraId="4AF43E9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Offaly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Cross-Country Champion and Leinster silver medalist 2011</w:t>
            </w:r>
          </w:p>
          <w:p w14:paraId="17125AE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South Leinster Track and Field 5000m silver medalist 2013</w:t>
            </w:r>
          </w:p>
          <w:p w14:paraId="363662A1" w14:textId="01593BE2" w:rsidR="009E1746" w:rsidRPr="001C086A" w:rsidRDefault="009E1746">
            <w:pPr>
              <w:rPr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5F7286FD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47B18335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accomplishments in the field of sports highlight my tenacity and drive to achieve through hard work and determination.</w:t>
            </w:r>
          </w:p>
          <w:p w14:paraId="0003664B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1C086A" w:rsidRPr="00807385" w14:paraId="7BD5ACAF" w14:textId="77777777" w:rsidTr="0062016C">
        <w:trPr>
          <w:trHeight w:val="1624"/>
        </w:trPr>
        <w:tc>
          <w:tcPr>
            <w:tcW w:w="3539" w:type="dxa"/>
          </w:tcPr>
          <w:p w14:paraId="5619D23C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1F37739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Completion of ECDL computer course with distinction</w:t>
            </w:r>
          </w:p>
          <w:p w14:paraId="2D5A7F40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03D08119" w14:textId="77777777" w:rsidR="0010441B" w:rsidRPr="00807385" w:rsidRDefault="0010441B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70F558CF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 xml:space="preserve">My completion of the European Computer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Licence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course conveys my competency in ICT and the digital workplace.</w:t>
            </w:r>
          </w:p>
          <w:p w14:paraId="0F5CF2A7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1C086A" w:rsidRPr="00807385" w14:paraId="6B84B177" w14:textId="77777777" w:rsidTr="0062016C">
        <w:trPr>
          <w:trHeight w:val="2058"/>
        </w:trPr>
        <w:tc>
          <w:tcPr>
            <w:tcW w:w="3539" w:type="dxa"/>
          </w:tcPr>
          <w:p w14:paraId="0790846D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4F4EA25F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Elected Prefect, St. Brendan's Community School 2013-2014</w:t>
            </w:r>
          </w:p>
          <w:p w14:paraId="16B7E677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28110F71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  <w:p w14:paraId="318A1BF9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r w:rsidRPr="00807385">
              <w:rPr>
                <w:rFonts w:asciiTheme="minorHAnsi" w:hAnsiTheme="minorHAnsi"/>
                <w:sz w:val="24"/>
                <w:szCs w:val="24"/>
              </w:rPr>
              <w:t>My election to Prefect captures my ability to relate well with fellow peers and succeed in any corporate culture.</w:t>
            </w:r>
          </w:p>
          <w:p w14:paraId="1A5FE298" w14:textId="77777777" w:rsidR="009E1746" w:rsidRPr="00807385" w:rsidRDefault="009E1746" w:rsidP="009E1746">
            <w:pPr>
              <w:jc w:val="center"/>
              <w:rPr>
                <w:sz w:val="24"/>
                <w:szCs w:val="24"/>
                <w:lang w:val="en-IE"/>
              </w:rPr>
            </w:pPr>
          </w:p>
        </w:tc>
      </w:tr>
      <w:tr w:rsidR="001C086A" w:rsidRPr="00807385" w14:paraId="05FEEB77" w14:textId="77777777" w:rsidTr="0062016C">
        <w:trPr>
          <w:trHeight w:val="3651"/>
        </w:trPr>
        <w:tc>
          <w:tcPr>
            <w:tcW w:w="3539" w:type="dxa"/>
          </w:tcPr>
          <w:p w14:paraId="4E350012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62508E66" w14:textId="77777777" w:rsidR="004701F7" w:rsidRDefault="004701F7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</w:p>
          <w:p w14:paraId="5C9910AC" w14:textId="77777777" w:rsidR="009E1746" w:rsidRPr="00807385" w:rsidRDefault="009E1746" w:rsidP="009E1746">
            <w:pPr>
              <w:pStyle w:val="NormalWeb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Scéim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07385">
              <w:rPr>
                <w:rFonts w:asciiTheme="minorHAnsi" w:hAnsiTheme="minorHAnsi"/>
                <w:sz w:val="24"/>
                <w:szCs w:val="24"/>
              </w:rPr>
              <w:t>Chónaithe</w:t>
            </w:r>
            <w:proofErr w:type="spellEnd"/>
            <w:r w:rsidRPr="00807385">
              <w:rPr>
                <w:rFonts w:asciiTheme="minorHAnsi" w:hAnsiTheme="minorHAnsi"/>
                <w:sz w:val="24"/>
                <w:szCs w:val="24"/>
              </w:rPr>
              <w:t>, Trinity College Dublin 2015-2016</w:t>
            </w:r>
          </w:p>
          <w:p w14:paraId="77218CCB" w14:textId="77777777" w:rsidR="009E1746" w:rsidRPr="00807385" w:rsidRDefault="009E1746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471" w:type="dxa"/>
          </w:tcPr>
          <w:p w14:paraId="4773D36B" w14:textId="77777777" w:rsidR="004701F7" w:rsidRDefault="004701F7" w:rsidP="00433B37">
            <w:pPr>
              <w:rPr>
                <w:sz w:val="24"/>
                <w:szCs w:val="24"/>
              </w:rPr>
            </w:pPr>
          </w:p>
          <w:p w14:paraId="274B1204" w14:textId="207A4C1F" w:rsidR="009E1746" w:rsidRPr="00433B37" w:rsidRDefault="00433B37" w:rsidP="00433B37">
            <w:r>
              <w:rPr>
                <w:sz w:val="24"/>
                <w:szCs w:val="24"/>
              </w:rPr>
              <w:t>Selected by Trinity College’s Department of Irish</w:t>
            </w:r>
            <w:r w:rsidRPr="00807385">
              <w:rPr>
                <w:sz w:val="24"/>
                <w:szCs w:val="24"/>
              </w:rPr>
              <w:t xml:space="preserve">, it is my duty to act as an ambassador of our native tongue throughout the college. This involves </w:t>
            </w:r>
            <w:proofErr w:type="spellStart"/>
            <w:r w:rsidRPr="00807385">
              <w:rPr>
                <w:sz w:val="24"/>
                <w:szCs w:val="24"/>
              </w:rPr>
              <w:t>organising</w:t>
            </w:r>
            <w:proofErr w:type="spellEnd"/>
            <w:r w:rsidRPr="00807385">
              <w:rPr>
                <w:sz w:val="24"/>
                <w:szCs w:val="24"/>
              </w:rPr>
              <w:t xml:space="preserve"> regular events such as </w:t>
            </w:r>
            <w:proofErr w:type="spellStart"/>
            <w:r w:rsidRPr="00807385">
              <w:rPr>
                <w:sz w:val="24"/>
                <w:szCs w:val="24"/>
              </w:rPr>
              <w:t>ceilis</w:t>
            </w:r>
            <w:proofErr w:type="spellEnd"/>
            <w:r w:rsidRPr="00807385">
              <w:rPr>
                <w:sz w:val="24"/>
                <w:szCs w:val="24"/>
              </w:rPr>
              <w:t xml:space="preserve"> and conversation circles throughout the college.</w:t>
            </w:r>
            <w:r>
              <w:rPr>
                <w:sz w:val="24"/>
                <w:szCs w:val="24"/>
              </w:rPr>
              <w:t xml:space="preserve"> Such a position</w:t>
            </w:r>
            <w:r w:rsidR="00F7275E">
              <w:rPr>
                <w:sz w:val="24"/>
                <w:szCs w:val="24"/>
              </w:rPr>
              <w:t xml:space="preserve"> within Trinity College has</w:t>
            </w:r>
            <w:r>
              <w:rPr>
                <w:sz w:val="24"/>
                <w:szCs w:val="24"/>
              </w:rPr>
              <w:t xml:space="preserve"> enabled me to fight for the promotion of the Irish language on a national level, attending events such as The </w:t>
            </w:r>
            <w:proofErr w:type="spellStart"/>
            <w:r>
              <w:rPr>
                <w:sz w:val="24"/>
                <w:szCs w:val="24"/>
              </w:rPr>
              <w:t>Oireachtas</w:t>
            </w:r>
            <w:proofErr w:type="spellEnd"/>
            <w:r>
              <w:rPr>
                <w:sz w:val="24"/>
                <w:szCs w:val="24"/>
              </w:rPr>
              <w:t xml:space="preserve"> and other prominent national event</w:t>
            </w:r>
            <w:r w:rsidR="00F727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F9BD6B3" w14:textId="77777777" w:rsidR="009E1746" w:rsidRDefault="009E1746">
      <w:pPr>
        <w:rPr>
          <w:b/>
          <w:sz w:val="24"/>
          <w:szCs w:val="24"/>
          <w:lang w:val="en-IE"/>
        </w:rPr>
      </w:pPr>
    </w:p>
    <w:p w14:paraId="4FBD4A90" w14:textId="77777777" w:rsidR="004464BF" w:rsidRDefault="004464BF">
      <w:pPr>
        <w:rPr>
          <w:b/>
          <w:sz w:val="28"/>
          <w:szCs w:val="28"/>
          <w:lang w:val="en-IE"/>
        </w:rPr>
      </w:pPr>
    </w:p>
    <w:p w14:paraId="01F9F77D" w14:textId="77777777" w:rsidR="00610066" w:rsidRDefault="00610066">
      <w:pPr>
        <w:rPr>
          <w:b/>
          <w:sz w:val="28"/>
          <w:szCs w:val="28"/>
          <w:lang w:val="en-IE"/>
        </w:rPr>
      </w:pPr>
    </w:p>
    <w:p w14:paraId="388859C9" w14:textId="77777777" w:rsidR="00807385" w:rsidRDefault="00807385">
      <w:pPr>
        <w:rPr>
          <w:b/>
          <w:sz w:val="28"/>
          <w:szCs w:val="28"/>
          <w:lang w:val="en-IE"/>
        </w:rPr>
      </w:pPr>
      <w:r w:rsidRPr="00807385">
        <w:rPr>
          <w:b/>
          <w:sz w:val="28"/>
          <w:szCs w:val="28"/>
          <w:lang w:val="en-IE"/>
        </w:rPr>
        <w:lastRenderedPageBreak/>
        <w:t>Referees</w:t>
      </w:r>
      <w:r w:rsidR="00D05EEA">
        <w:rPr>
          <w:b/>
          <w:sz w:val="28"/>
          <w:szCs w:val="28"/>
          <w:lang w:val="en-IE"/>
        </w:rPr>
        <w:t>:</w:t>
      </w:r>
    </w:p>
    <w:p w14:paraId="465FC14A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 w:rsidRPr="00D05EEA">
        <w:rPr>
          <w:sz w:val="28"/>
          <w:szCs w:val="28"/>
          <w:lang w:val="en-IE"/>
        </w:rPr>
        <w:t xml:space="preserve">Ms Ming </w:t>
      </w:r>
      <w:proofErr w:type="spellStart"/>
      <w:r w:rsidRPr="00D05EEA">
        <w:rPr>
          <w:sz w:val="28"/>
          <w:szCs w:val="28"/>
          <w:lang w:val="en-IE"/>
        </w:rPr>
        <w:t>Loughnane</w:t>
      </w:r>
      <w:proofErr w:type="spellEnd"/>
      <w:r>
        <w:rPr>
          <w:sz w:val="28"/>
          <w:szCs w:val="28"/>
          <w:lang w:val="en-IE"/>
        </w:rPr>
        <w:t>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 xml:space="preserve">Senator Ivana </w:t>
      </w:r>
      <w:proofErr w:type="spellStart"/>
      <w:r>
        <w:rPr>
          <w:sz w:val="28"/>
          <w:szCs w:val="28"/>
          <w:lang w:val="en-IE"/>
        </w:rPr>
        <w:t>Bacik</w:t>
      </w:r>
      <w:proofErr w:type="spellEnd"/>
      <w:r>
        <w:rPr>
          <w:sz w:val="28"/>
          <w:szCs w:val="28"/>
          <w:lang w:val="en-IE"/>
        </w:rPr>
        <w:t>,</w:t>
      </w:r>
    </w:p>
    <w:p w14:paraId="6287028E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Principal,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Professor at Law,</w:t>
      </w:r>
    </w:p>
    <w:p w14:paraId="7079F725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St. Brendan’s Community School,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Trinity College Dublin,</w:t>
      </w:r>
    </w:p>
    <w:p w14:paraId="120B466C" w14:textId="77777777" w:rsidR="00433B37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Birr, Co. Offaly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Email: icbacik@tcd.ie</w:t>
      </w:r>
    </w:p>
    <w:p w14:paraId="7180F307" w14:textId="1CBFF74C" w:rsidR="004464BF" w:rsidRPr="00D05EEA" w:rsidRDefault="00433B37" w:rsidP="00433B37">
      <w:pPr>
        <w:spacing w:after="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Tel: 0579120511</w:t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>Tel: (01) 896 2299</w:t>
      </w:r>
      <w:bookmarkStart w:id="0" w:name="_GoBack"/>
      <w:bookmarkEnd w:id="0"/>
    </w:p>
    <w:sectPr w:rsidR="004464BF" w:rsidRPr="00D05EEA" w:rsidSect="00BA40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9B1"/>
    <w:multiLevelType w:val="hybridMultilevel"/>
    <w:tmpl w:val="79808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C"/>
    <w:rsid w:val="000040C1"/>
    <w:rsid w:val="00022590"/>
    <w:rsid w:val="000D2169"/>
    <w:rsid w:val="0010441B"/>
    <w:rsid w:val="001C086A"/>
    <w:rsid w:val="001C3427"/>
    <w:rsid w:val="002752AF"/>
    <w:rsid w:val="003436E0"/>
    <w:rsid w:val="00344161"/>
    <w:rsid w:val="003A44FD"/>
    <w:rsid w:val="003B27C4"/>
    <w:rsid w:val="00433B37"/>
    <w:rsid w:val="004464BF"/>
    <w:rsid w:val="004701F7"/>
    <w:rsid w:val="004C47D1"/>
    <w:rsid w:val="004E5379"/>
    <w:rsid w:val="004E7BF2"/>
    <w:rsid w:val="00571C93"/>
    <w:rsid w:val="00610066"/>
    <w:rsid w:val="0062016C"/>
    <w:rsid w:val="006979F7"/>
    <w:rsid w:val="006E4686"/>
    <w:rsid w:val="0079675C"/>
    <w:rsid w:val="00807385"/>
    <w:rsid w:val="008768A4"/>
    <w:rsid w:val="009E1746"/>
    <w:rsid w:val="00B15BB5"/>
    <w:rsid w:val="00B37EFF"/>
    <w:rsid w:val="00B5791C"/>
    <w:rsid w:val="00BA40A6"/>
    <w:rsid w:val="00BF1AA2"/>
    <w:rsid w:val="00D05EEA"/>
    <w:rsid w:val="00D87084"/>
    <w:rsid w:val="00EC2482"/>
    <w:rsid w:val="00F20EB5"/>
    <w:rsid w:val="00F7275E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7F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44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675C"/>
    <w:pPr>
      <w:spacing w:before="100" w:beforeAutospacing="1" w:after="144" w:line="288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0441B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1B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1B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1B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41B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1044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10441B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1B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10441B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10441B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10441B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1044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441B"/>
  </w:style>
  <w:style w:type="paragraph" w:styleId="ListParagraph">
    <w:name w:val="List Paragraph"/>
    <w:basedOn w:val="Normal"/>
    <w:uiPriority w:val="34"/>
    <w:qFormat/>
    <w:rsid w:val="0010441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0441B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10441B"/>
    <w:rPr>
      <w:rFonts w:asciiTheme="majorHAnsi" w:eastAsiaTheme="minorEastAsia" w:hAnsiTheme="majorHAnsi"/>
      <w:b/>
      <w:i/>
      <w:iCs/>
      <w:color w:val="5B9BD5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1B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1B"/>
    <w:rPr>
      <w:rFonts w:eastAsiaTheme="minorEastAsia"/>
      <w:b/>
      <w:bCs/>
      <w:i/>
      <w:iCs/>
      <w:color w:val="ED7D31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1044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0441B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1044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0441B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10441B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41B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10441B"/>
    <w:rPr>
      <w:b/>
      <w:cap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3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3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O Carroll</dc:creator>
  <cp:keywords/>
  <dc:description/>
  <cp:lastModifiedBy>martina</cp:lastModifiedBy>
  <cp:revision>2</cp:revision>
  <dcterms:created xsi:type="dcterms:W3CDTF">2017-01-29T12:19:00Z</dcterms:created>
  <dcterms:modified xsi:type="dcterms:W3CDTF">2017-01-29T12:19:00Z</dcterms:modified>
</cp:coreProperties>
</file>