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1E76" w14:textId="77777777" w:rsidR="001B2D8D" w:rsidRPr="001B2D8D" w:rsidRDefault="001B2D8D" w:rsidP="001B2D8D">
      <w:pPr>
        <w:pStyle w:val="Title"/>
        <w:jc w:val="center"/>
        <w:rPr>
          <w:rFonts w:ascii="Times New Roman" w:hAnsi="Times New Roman" w:cs="Times New Roman"/>
          <w:b/>
          <w:sz w:val="14"/>
        </w:rPr>
      </w:pPr>
      <w:r w:rsidRPr="001B2D8D">
        <w:rPr>
          <w:rFonts w:ascii="Times New Roman" w:hAnsi="Times New Roman" w:cs="Times New Roman"/>
          <w:b/>
          <w:sz w:val="32"/>
        </w:rPr>
        <w:t>Kevin Doyle</w:t>
      </w:r>
    </w:p>
    <w:p w14:paraId="5C248CFA" w14:textId="77777777" w:rsidR="00137917" w:rsidRPr="001B2D8D" w:rsidRDefault="00137917" w:rsidP="001B2D8D">
      <w:pPr>
        <w:spacing w:after="0"/>
        <w:jc w:val="center"/>
        <w:rPr>
          <w:b/>
        </w:rPr>
      </w:pPr>
      <w:r w:rsidRPr="001B2D8D">
        <w:rPr>
          <w:b/>
        </w:rPr>
        <w:t>4 Seabury Dale, Malahide, Co. Dublin, K36 CH01</w:t>
      </w:r>
    </w:p>
    <w:p w14:paraId="01414A2F" w14:textId="77777777" w:rsidR="00137917" w:rsidRPr="001B2D8D" w:rsidRDefault="00137917" w:rsidP="001B2D8D">
      <w:pPr>
        <w:spacing w:after="0"/>
        <w:jc w:val="center"/>
        <w:rPr>
          <w:b/>
        </w:rPr>
      </w:pPr>
      <w:r w:rsidRPr="001B2D8D">
        <w:rPr>
          <w:b/>
        </w:rPr>
        <w:t>+353863651962</w:t>
      </w:r>
    </w:p>
    <w:p w14:paraId="40C7AE1D" w14:textId="77777777" w:rsidR="00F0498D" w:rsidRPr="001B2D8D" w:rsidRDefault="007D4CD8" w:rsidP="001B2D8D">
      <w:pPr>
        <w:spacing w:after="0"/>
        <w:jc w:val="center"/>
        <w:rPr>
          <w:rStyle w:val="Hyperlink"/>
          <w:b/>
        </w:rPr>
      </w:pPr>
      <w:hyperlink r:id="rId5" w:history="1">
        <w:r w:rsidR="00137917" w:rsidRPr="001B2D8D">
          <w:rPr>
            <w:rStyle w:val="Hyperlink"/>
            <w:b/>
          </w:rPr>
          <w:t>kdoyle8@tcd.ie</w:t>
        </w:r>
      </w:hyperlink>
    </w:p>
    <w:p w14:paraId="476F5B7D" w14:textId="77777777" w:rsidR="001B2D8D" w:rsidRPr="002B79F8" w:rsidRDefault="001B2D8D" w:rsidP="001B2D8D">
      <w:pPr>
        <w:spacing w:after="0"/>
        <w:rPr>
          <w:rStyle w:val="Hyperlink"/>
          <w:b/>
          <w:color w:val="auto"/>
          <w:sz w:val="24"/>
        </w:rPr>
      </w:pPr>
      <w:r w:rsidRPr="002B79F8">
        <w:rPr>
          <w:rStyle w:val="Hyperlink"/>
          <w:b/>
          <w:color w:val="auto"/>
          <w:sz w:val="24"/>
        </w:rPr>
        <w:t>Profile</w:t>
      </w:r>
    </w:p>
    <w:p w14:paraId="16159E42" w14:textId="20D160DF" w:rsidR="001B2D8D" w:rsidRDefault="001B2D8D" w:rsidP="001B2D8D">
      <w:pPr>
        <w:spacing w:after="0"/>
      </w:pPr>
      <w:r w:rsidRPr="001B2D8D">
        <w:t>Highly motivated, enthusiastic</w:t>
      </w:r>
      <w:r w:rsidR="00B014E2">
        <w:t xml:space="preserve"> final</w:t>
      </w:r>
      <w:r>
        <w:t xml:space="preserve"> year</w:t>
      </w:r>
      <w:r w:rsidRPr="001B2D8D">
        <w:t xml:space="preserve"> Law student </w:t>
      </w:r>
      <w:r w:rsidR="00B014E2">
        <w:t>in Trinity College Dublin, having completed an exchange programme in Emory University, Atlanta for the 2016/17 academic year.</w:t>
      </w:r>
    </w:p>
    <w:p w14:paraId="0AD5FB2E" w14:textId="79384A81" w:rsidR="0035185A" w:rsidRPr="001B2D8D" w:rsidRDefault="001B2D8D" w:rsidP="001B2D8D">
      <w:pPr>
        <w:spacing w:after="0"/>
      </w:pPr>
      <w:r>
        <w:t>Proven track record of excellent academic</w:t>
      </w:r>
      <w:r w:rsidR="000837D7">
        <w:t xml:space="preserve"> results coupled with strong analytical, interpersonal, communication and problem-solving skills and the ability to work individually and as part of a team.</w:t>
      </w:r>
    </w:p>
    <w:p w14:paraId="7CD4ABDE" w14:textId="77777777" w:rsidR="001B2D8D" w:rsidRPr="001B2D8D" w:rsidRDefault="001B2D8D" w:rsidP="001B2D8D">
      <w:pPr>
        <w:spacing w:after="0"/>
      </w:pPr>
    </w:p>
    <w:p w14:paraId="05D260A2" w14:textId="77777777" w:rsidR="00137917" w:rsidRPr="002B79F8" w:rsidRDefault="00137917" w:rsidP="001B2D8D">
      <w:pPr>
        <w:spacing w:after="0"/>
        <w:rPr>
          <w:b/>
          <w:sz w:val="24"/>
          <w:u w:val="single"/>
        </w:rPr>
      </w:pPr>
      <w:r w:rsidRPr="002B79F8">
        <w:rPr>
          <w:b/>
          <w:sz w:val="24"/>
          <w:u w:val="single"/>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0"/>
      </w:tblGrid>
      <w:tr w:rsidR="00137917" w:rsidRPr="001B2D8D" w14:paraId="4828064A" w14:textId="77777777" w:rsidTr="00550E14">
        <w:tc>
          <w:tcPr>
            <w:tcW w:w="2830" w:type="dxa"/>
          </w:tcPr>
          <w:p w14:paraId="72D1D96D" w14:textId="64F6B7C1" w:rsidR="00137917" w:rsidRPr="001B2D8D" w:rsidRDefault="008A522E" w:rsidP="001B2D8D">
            <w:r w:rsidRPr="001B2D8D">
              <w:t>2016 –</w:t>
            </w:r>
            <w:r w:rsidR="00FF23F3">
              <w:t xml:space="preserve"> 2017</w:t>
            </w:r>
          </w:p>
        </w:tc>
        <w:tc>
          <w:tcPr>
            <w:tcW w:w="5670" w:type="dxa"/>
          </w:tcPr>
          <w:p w14:paraId="778F1BBC" w14:textId="77777777" w:rsidR="00137917" w:rsidRPr="001B2D8D" w:rsidRDefault="00137917" w:rsidP="001B2D8D">
            <w:r w:rsidRPr="001B2D8D">
              <w:t>Emory University, Atlanta</w:t>
            </w:r>
          </w:p>
        </w:tc>
      </w:tr>
      <w:tr w:rsidR="00137917" w:rsidRPr="001B2D8D" w14:paraId="0F24AC31" w14:textId="77777777" w:rsidTr="00550E14">
        <w:tc>
          <w:tcPr>
            <w:tcW w:w="2830" w:type="dxa"/>
          </w:tcPr>
          <w:p w14:paraId="42861CA0" w14:textId="77777777" w:rsidR="00137917" w:rsidRPr="001B2D8D" w:rsidRDefault="00550E14" w:rsidP="001B2D8D">
            <w:r w:rsidRPr="001B2D8D">
              <w:t>2014 – Present</w:t>
            </w:r>
          </w:p>
        </w:tc>
        <w:tc>
          <w:tcPr>
            <w:tcW w:w="5670" w:type="dxa"/>
          </w:tcPr>
          <w:p w14:paraId="2E04F480" w14:textId="77777777" w:rsidR="00137917" w:rsidRPr="001B2D8D" w:rsidRDefault="00137917" w:rsidP="001B2D8D">
            <w:r w:rsidRPr="001B2D8D">
              <w:t>Trinity College, Dublin</w:t>
            </w:r>
          </w:p>
        </w:tc>
      </w:tr>
      <w:tr w:rsidR="00137917" w:rsidRPr="001B2D8D" w14:paraId="61A4F0E4" w14:textId="77777777" w:rsidTr="00550E14">
        <w:tc>
          <w:tcPr>
            <w:tcW w:w="2830" w:type="dxa"/>
          </w:tcPr>
          <w:p w14:paraId="0CEE978A" w14:textId="77777777" w:rsidR="00137917" w:rsidRPr="001B2D8D" w:rsidRDefault="00550E14" w:rsidP="001B2D8D">
            <w:r w:rsidRPr="001B2D8D">
              <w:t>2008 – 2014</w:t>
            </w:r>
          </w:p>
        </w:tc>
        <w:tc>
          <w:tcPr>
            <w:tcW w:w="5670" w:type="dxa"/>
          </w:tcPr>
          <w:p w14:paraId="38384467" w14:textId="77777777" w:rsidR="00137917" w:rsidRPr="001B2D8D" w:rsidRDefault="00137917" w:rsidP="001B2D8D">
            <w:r w:rsidRPr="001B2D8D">
              <w:t>Malahide Community School</w:t>
            </w:r>
          </w:p>
        </w:tc>
      </w:tr>
      <w:tr w:rsidR="00137917" w:rsidRPr="001B2D8D" w14:paraId="280CA36A" w14:textId="77777777" w:rsidTr="00550E14">
        <w:trPr>
          <w:trHeight w:val="80"/>
        </w:trPr>
        <w:tc>
          <w:tcPr>
            <w:tcW w:w="2830" w:type="dxa"/>
          </w:tcPr>
          <w:p w14:paraId="0FBA53FE" w14:textId="77777777" w:rsidR="00137917" w:rsidRPr="001B2D8D" w:rsidRDefault="00550E14" w:rsidP="001B2D8D">
            <w:r w:rsidRPr="001B2D8D">
              <w:t>2003</w:t>
            </w:r>
            <w:r w:rsidR="00137917" w:rsidRPr="001B2D8D">
              <w:t xml:space="preserve"> – 2008</w:t>
            </w:r>
          </w:p>
          <w:p w14:paraId="7A34DFBB" w14:textId="77777777" w:rsidR="00550E14" w:rsidRPr="001B2D8D" w:rsidRDefault="00550E14" w:rsidP="001B2D8D">
            <w:r w:rsidRPr="001B2D8D">
              <w:t xml:space="preserve">2000 – 2003 </w:t>
            </w:r>
          </w:p>
        </w:tc>
        <w:tc>
          <w:tcPr>
            <w:tcW w:w="5670" w:type="dxa"/>
          </w:tcPr>
          <w:p w14:paraId="59780C6E" w14:textId="77777777" w:rsidR="00137917" w:rsidRPr="001B2D8D" w:rsidRDefault="00550E14" w:rsidP="001B2D8D">
            <w:r w:rsidRPr="001B2D8D">
              <w:t>Pope John Paul II N.S., Malahide</w:t>
            </w:r>
          </w:p>
          <w:p w14:paraId="6D81CFC5" w14:textId="77777777" w:rsidR="00550E14" w:rsidRPr="001B2D8D" w:rsidRDefault="00550E14" w:rsidP="001B2D8D">
            <w:r w:rsidRPr="001B2D8D">
              <w:t>St. Sylvester’s Infant School, Malahide</w:t>
            </w:r>
          </w:p>
        </w:tc>
      </w:tr>
    </w:tbl>
    <w:p w14:paraId="07E5F440" w14:textId="77777777" w:rsidR="00550E14" w:rsidRPr="001B2D8D" w:rsidRDefault="00550E14" w:rsidP="001B2D8D">
      <w:pPr>
        <w:spacing w:after="0"/>
        <w:rPr>
          <w:b/>
          <w:u w:val="single"/>
        </w:rPr>
      </w:pPr>
    </w:p>
    <w:p w14:paraId="1BD7ED74" w14:textId="77777777" w:rsidR="00137917" w:rsidRPr="002B79F8" w:rsidRDefault="00137917" w:rsidP="001B2D8D">
      <w:pPr>
        <w:spacing w:after="0"/>
        <w:rPr>
          <w:b/>
          <w:sz w:val="24"/>
          <w:u w:val="single"/>
        </w:rPr>
      </w:pPr>
      <w:r w:rsidRPr="002B79F8">
        <w:rPr>
          <w:b/>
          <w:sz w:val="24"/>
          <w:u w:val="single"/>
        </w:rPr>
        <w:t>Examination Results</w:t>
      </w:r>
    </w:p>
    <w:p w14:paraId="45BD4971" w14:textId="6FCB62A1" w:rsidR="00001A1D" w:rsidRPr="00001A1D" w:rsidRDefault="00001A1D" w:rsidP="002B79F8">
      <w:pPr>
        <w:spacing w:after="0"/>
        <w:jc w:val="center"/>
        <w:rPr>
          <w:b/>
          <w:u w:val="single"/>
        </w:rPr>
      </w:pPr>
      <w:r w:rsidRPr="00001A1D">
        <w:rPr>
          <w:b/>
          <w:u w:val="single"/>
        </w:rPr>
        <w:t xml:space="preserve">Junior </w:t>
      </w:r>
      <w:proofErr w:type="spellStart"/>
      <w:r w:rsidRPr="00001A1D">
        <w:rPr>
          <w:b/>
          <w:u w:val="single"/>
        </w:rPr>
        <w:t>Sophister</w:t>
      </w:r>
      <w:proofErr w:type="spellEnd"/>
      <w:r w:rsidR="005A30DF">
        <w:rPr>
          <w:b/>
          <w:u w:val="single"/>
        </w:rPr>
        <w:t xml:space="preserve"> </w:t>
      </w:r>
      <w:r w:rsidR="00F4227B">
        <w:rPr>
          <w:b/>
          <w:u w:val="single"/>
        </w:rPr>
        <w:t>Exams 2016</w:t>
      </w:r>
      <w:r w:rsidR="005A30DF">
        <w:rPr>
          <w:b/>
          <w:u w:val="single"/>
        </w:rPr>
        <w:t>/17</w:t>
      </w:r>
    </w:p>
    <w:tbl>
      <w:tblPr>
        <w:tblStyle w:val="TableGrid"/>
        <w:tblW w:w="0" w:type="auto"/>
        <w:jc w:val="center"/>
        <w:tblLook w:val="04A0" w:firstRow="1" w:lastRow="0" w:firstColumn="1" w:lastColumn="0" w:noHBand="0" w:noVBand="1"/>
      </w:tblPr>
      <w:tblGrid>
        <w:gridCol w:w="3256"/>
        <w:gridCol w:w="2409"/>
      </w:tblGrid>
      <w:tr w:rsidR="00001A1D" w14:paraId="703CBD46" w14:textId="77777777" w:rsidTr="00B66F43">
        <w:trPr>
          <w:jc w:val="center"/>
        </w:trPr>
        <w:tc>
          <w:tcPr>
            <w:tcW w:w="3256" w:type="dxa"/>
          </w:tcPr>
          <w:p w14:paraId="09B746C6" w14:textId="77777777" w:rsidR="00001A1D" w:rsidRPr="00001A1D" w:rsidRDefault="00001A1D" w:rsidP="001B2D8D">
            <w:pPr>
              <w:rPr>
                <w:u w:val="single"/>
              </w:rPr>
            </w:pPr>
            <w:r w:rsidRPr="00001A1D">
              <w:rPr>
                <w:u w:val="single"/>
              </w:rPr>
              <w:t>Subject</w:t>
            </w:r>
          </w:p>
        </w:tc>
        <w:tc>
          <w:tcPr>
            <w:tcW w:w="2409" w:type="dxa"/>
          </w:tcPr>
          <w:p w14:paraId="5722E1C9" w14:textId="77777777" w:rsidR="00001A1D" w:rsidRPr="00001A1D" w:rsidRDefault="00001A1D" w:rsidP="001B2D8D">
            <w:pPr>
              <w:rPr>
                <w:u w:val="single"/>
              </w:rPr>
            </w:pPr>
            <w:r>
              <w:rPr>
                <w:u w:val="single"/>
              </w:rPr>
              <w:t>Grade</w:t>
            </w:r>
            <w:r w:rsidR="00CC320E">
              <w:rPr>
                <w:u w:val="single"/>
              </w:rPr>
              <w:t>/Converted Grade</w:t>
            </w:r>
          </w:p>
        </w:tc>
      </w:tr>
      <w:tr w:rsidR="00001A1D" w14:paraId="704A8CD7" w14:textId="77777777" w:rsidTr="00B66F43">
        <w:trPr>
          <w:jc w:val="center"/>
        </w:trPr>
        <w:tc>
          <w:tcPr>
            <w:tcW w:w="3256" w:type="dxa"/>
          </w:tcPr>
          <w:p w14:paraId="65361DCA" w14:textId="33CFAFB2" w:rsidR="00001A1D" w:rsidRPr="00001A1D" w:rsidRDefault="005A30DF" w:rsidP="001B2D8D">
            <w:r>
              <w:t>Comparative Constitutional Law</w:t>
            </w:r>
          </w:p>
        </w:tc>
        <w:tc>
          <w:tcPr>
            <w:tcW w:w="2409" w:type="dxa"/>
          </w:tcPr>
          <w:p w14:paraId="6821B5DB" w14:textId="77777777" w:rsidR="00001A1D" w:rsidRPr="00001A1D" w:rsidRDefault="00CC320E" w:rsidP="00F4227B">
            <w:pPr>
              <w:jc w:val="center"/>
            </w:pPr>
            <w:r>
              <w:t>A/70%/1</w:t>
            </w:r>
            <w:r w:rsidRPr="00CC320E">
              <w:rPr>
                <w:vertAlign w:val="superscript"/>
              </w:rPr>
              <w:t>st</w:t>
            </w:r>
          </w:p>
        </w:tc>
      </w:tr>
      <w:tr w:rsidR="00001A1D" w14:paraId="60799156" w14:textId="77777777" w:rsidTr="00B66F43">
        <w:trPr>
          <w:jc w:val="center"/>
        </w:trPr>
        <w:tc>
          <w:tcPr>
            <w:tcW w:w="3256" w:type="dxa"/>
          </w:tcPr>
          <w:p w14:paraId="7709FEBA" w14:textId="02086C8A" w:rsidR="00001A1D" w:rsidRPr="00001A1D" w:rsidRDefault="005A30DF" w:rsidP="001B2D8D">
            <w:r>
              <w:t>Election Law</w:t>
            </w:r>
          </w:p>
        </w:tc>
        <w:tc>
          <w:tcPr>
            <w:tcW w:w="2409" w:type="dxa"/>
          </w:tcPr>
          <w:p w14:paraId="557E11B1" w14:textId="1A75DF83" w:rsidR="00001A1D" w:rsidRPr="00CC320E" w:rsidRDefault="005A30DF" w:rsidP="00F4227B">
            <w:pPr>
              <w:jc w:val="center"/>
            </w:pPr>
            <w:r>
              <w:t>A/70%/1</w:t>
            </w:r>
            <w:r w:rsidRPr="00B66F43">
              <w:rPr>
                <w:vertAlign w:val="superscript"/>
              </w:rPr>
              <w:t>st</w:t>
            </w:r>
          </w:p>
        </w:tc>
      </w:tr>
      <w:tr w:rsidR="00001A1D" w14:paraId="6C2EA8A8" w14:textId="77777777" w:rsidTr="00B66F43">
        <w:trPr>
          <w:jc w:val="center"/>
        </w:trPr>
        <w:tc>
          <w:tcPr>
            <w:tcW w:w="3256" w:type="dxa"/>
          </w:tcPr>
          <w:p w14:paraId="32C96882" w14:textId="52D2CE94" w:rsidR="00001A1D" w:rsidRPr="00001A1D" w:rsidRDefault="00B66F43" w:rsidP="001B2D8D">
            <w:r>
              <w:t>Federal Courts</w:t>
            </w:r>
          </w:p>
        </w:tc>
        <w:tc>
          <w:tcPr>
            <w:tcW w:w="2409" w:type="dxa"/>
          </w:tcPr>
          <w:p w14:paraId="73BB1C04" w14:textId="77777777" w:rsidR="00001A1D" w:rsidRPr="00CC320E" w:rsidRDefault="00CC320E" w:rsidP="00F4227B">
            <w:pPr>
              <w:jc w:val="center"/>
            </w:pPr>
            <w:r>
              <w:t>B+/67%/2.1</w:t>
            </w:r>
          </w:p>
        </w:tc>
      </w:tr>
      <w:tr w:rsidR="00001A1D" w14:paraId="4A9FF948" w14:textId="77777777" w:rsidTr="00B66F43">
        <w:trPr>
          <w:jc w:val="center"/>
        </w:trPr>
        <w:tc>
          <w:tcPr>
            <w:tcW w:w="3256" w:type="dxa"/>
          </w:tcPr>
          <w:p w14:paraId="550921C0" w14:textId="0275FAD2" w:rsidR="00001A1D" w:rsidRPr="00001A1D" w:rsidRDefault="00B66F43" w:rsidP="001B2D8D">
            <w:r>
              <w:t>Intellectual Property Law</w:t>
            </w:r>
          </w:p>
        </w:tc>
        <w:tc>
          <w:tcPr>
            <w:tcW w:w="2409" w:type="dxa"/>
          </w:tcPr>
          <w:p w14:paraId="5A60B22B" w14:textId="77777777" w:rsidR="00001A1D" w:rsidRPr="00CC320E" w:rsidRDefault="00CC320E" w:rsidP="00F4227B">
            <w:pPr>
              <w:jc w:val="center"/>
            </w:pPr>
            <w:r>
              <w:t>B+/67%/2.1</w:t>
            </w:r>
          </w:p>
        </w:tc>
      </w:tr>
      <w:tr w:rsidR="00001A1D" w14:paraId="4387313F" w14:textId="77777777" w:rsidTr="00B66F43">
        <w:trPr>
          <w:jc w:val="center"/>
        </w:trPr>
        <w:tc>
          <w:tcPr>
            <w:tcW w:w="3256" w:type="dxa"/>
          </w:tcPr>
          <w:p w14:paraId="762B1AF1" w14:textId="6B6DEF23" w:rsidR="00001A1D" w:rsidRPr="00CC320E" w:rsidRDefault="00B66F43" w:rsidP="001B2D8D">
            <w:pPr>
              <w:rPr>
                <w:b/>
              </w:rPr>
            </w:pPr>
            <w:r>
              <w:t>International Law</w:t>
            </w:r>
          </w:p>
        </w:tc>
        <w:tc>
          <w:tcPr>
            <w:tcW w:w="2409" w:type="dxa"/>
          </w:tcPr>
          <w:p w14:paraId="6EB57CF2" w14:textId="14C058AE" w:rsidR="00001A1D" w:rsidRPr="00CC320E" w:rsidRDefault="005A30DF" w:rsidP="00F4227B">
            <w:pPr>
              <w:jc w:val="center"/>
            </w:pPr>
            <w:r>
              <w:t>B+/67%/2.1</w:t>
            </w:r>
          </w:p>
        </w:tc>
      </w:tr>
      <w:tr w:rsidR="005A30DF" w14:paraId="6B5F4050" w14:textId="77777777" w:rsidTr="00B66F43">
        <w:trPr>
          <w:jc w:val="center"/>
        </w:trPr>
        <w:tc>
          <w:tcPr>
            <w:tcW w:w="3256" w:type="dxa"/>
          </w:tcPr>
          <w:p w14:paraId="3BBBCC0F" w14:textId="3BB9A4D9" w:rsidR="005A30DF" w:rsidRPr="00B66F43" w:rsidRDefault="00B66F43" w:rsidP="001B2D8D">
            <w:r>
              <w:t>International Human Rights Law</w:t>
            </w:r>
          </w:p>
        </w:tc>
        <w:tc>
          <w:tcPr>
            <w:tcW w:w="2409" w:type="dxa"/>
          </w:tcPr>
          <w:p w14:paraId="2E90281A" w14:textId="49FEC065" w:rsidR="005A30DF" w:rsidRDefault="005A30DF" w:rsidP="00F4227B">
            <w:pPr>
              <w:jc w:val="center"/>
            </w:pPr>
            <w:r>
              <w:t>B</w:t>
            </w:r>
            <w:r w:rsidR="00B66F43">
              <w:t>+/67%/2.1</w:t>
            </w:r>
          </w:p>
        </w:tc>
      </w:tr>
      <w:tr w:rsidR="005A30DF" w14:paraId="68F4FE86" w14:textId="77777777" w:rsidTr="00B66F43">
        <w:trPr>
          <w:jc w:val="center"/>
        </w:trPr>
        <w:tc>
          <w:tcPr>
            <w:tcW w:w="3256" w:type="dxa"/>
          </w:tcPr>
          <w:p w14:paraId="6FAE917D" w14:textId="798A62EF" w:rsidR="005A30DF" w:rsidRPr="00B66F43" w:rsidRDefault="00B66F43" w:rsidP="001B2D8D">
            <w:r>
              <w:t>Law and the Unconscious Mind</w:t>
            </w:r>
          </w:p>
        </w:tc>
        <w:tc>
          <w:tcPr>
            <w:tcW w:w="2409" w:type="dxa"/>
          </w:tcPr>
          <w:p w14:paraId="17105762" w14:textId="37152977" w:rsidR="005A30DF" w:rsidRDefault="00B66F43" w:rsidP="00F4227B">
            <w:pPr>
              <w:jc w:val="center"/>
            </w:pPr>
            <w:r>
              <w:t>B+/67%/2.1</w:t>
            </w:r>
          </w:p>
        </w:tc>
      </w:tr>
      <w:tr w:rsidR="005A30DF" w14:paraId="10CF3E97" w14:textId="77777777" w:rsidTr="00B66F43">
        <w:trPr>
          <w:jc w:val="center"/>
        </w:trPr>
        <w:tc>
          <w:tcPr>
            <w:tcW w:w="3256" w:type="dxa"/>
          </w:tcPr>
          <w:p w14:paraId="6ABF6EF5" w14:textId="0B2DBCF1" w:rsidR="005A30DF" w:rsidRPr="00B66F43" w:rsidRDefault="00B66F43" w:rsidP="001B2D8D">
            <w:r>
              <w:t>Banking Law</w:t>
            </w:r>
          </w:p>
        </w:tc>
        <w:tc>
          <w:tcPr>
            <w:tcW w:w="2409" w:type="dxa"/>
          </w:tcPr>
          <w:p w14:paraId="4D109920" w14:textId="038D26A2" w:rsidR="005A30DF" w:rsidRDefault="00B66F43" w:rsidP="00F4227B">
            <w:pPr>
              <w:jc w:val="center"/>
            </w:pPr>
            <w:r>
              <w:t>B-/63%/2.1</w:t>
            </w:r>
          </w:p>
        </w:tc>
      </w:tr>
      <w:tr w:rsidR="005A30DF" w14:paraId="18D8D8F1" w14:textId="77777777" w:rsidTr="00B66F43">
        <w:trPr>
          <w:jc w:val="center"/>
        </w:trPr>
        <w:tc>
          <w:tcPr>
            <w:tcW w:w="3256" w:type="dxa"/>
          </w:tcPr>
          <w:p w14:paraId="1DFED907" w14:textId="2183F18E" w:rsidR="005A30DF" w:rsidRDefault="004C3DA5" w:rsidP="001B2D8D">
            <w:pPr>
              <w:rPr>
                <w:b/>
              </w:rPr>
            </w:pPr>
            <w:r>
              <w:rPr>
                <w:b/>
              </w:rPr>
              <w:t>Overall Grade</w:t>
            </w:r>
          </w:p>
        </w:tc>
        <w:tc>
          <w:tcPr>
            <w:tcW w:w="2409" w:type="dxa"/>
          </w:tcPr>
          <w:p w14:paraId="54D8B65C" w14:textId="128D2CDF" w:rsidR="005A30DF" w:rsidRPr="004C3DA5" w:rsidRDefault="00B66F43" w:rsidP="00F4227B">
            <w:pPr>
              <w:jc w:val="center"/>
              <w:rPr>
                <w:b/>
              </w:rPr>
            </w:pPr>
            <w:r w:rsidRPr="004C3DA5">
              <w:rPr>
                <w:b/>
              </w:rPr>
              <w:t>B+/67%/2.1</w:t>
            </w:r>
          </w:p>
        </w:tc>
      </w:tr>
    </w:tbl>
    <w:p w14:paraId="347915EE" w14:textId="77777777" w:rsidR="001B2D8D" w:rsidRDefault="001B2D8D" w:rsidP="001B2D8D">
      <w:pPr>
        <w:spacing w:after="0"/>
        <w:rPr>
          <w:b/>
          <w:u w:val="single"/>
        </w:rPr>
      </w:pPr>
    </w:p>
    <w:p w14:paraId="244B0F59" w14:textId="77777777" w:rsidR="00CC320E" w:rsidRDefault="00F4227B" w:rsidP="001B2D8D">
      <w:pPr>
        <w:spacing w:after="0"/>
        <w:rPr>
          <w:b/>
          <w:u w:val="single"/>
        </w:rPr>
      </w:pPr>
      <w:r>
        <w:rPr>
          <w:b/>
          <w:u w:val="single"/>
        </w:rPr>
        <w:t>Senior Freshman Exams 2016</w:t>
      </w:r>
      <w:r w:rsidRPr="00F4227B">
        <w:rPr>
          <w:b/>
        </w:rPr>
        <w:t xml:space="preserve">                                </w:t>
      </w:r>
      <w:r>
        <w:rPr>
          <w:b/>
          <w:u w:val="single"/>
        </w:rPr>
        <w:t xml:space="preserve">Junior Freshman Exams 2015              </w:t>
      </w:r>
    </w:p>
    <w:tbl>
      <w:tblPr>
        <w:tblStyle w:val="TableGrid"/>
        <w:tblW w:w="0" w:type="auto"/>
        <w:tblLook w:val="04A0" w:firstRow="1" w:lastRow="0" w:firstColumn="1" w:lastColumn="0" w:noHBand="0" w:noVBand="1"/>
      </w:tblPr>
      <w:tblGrid>
        <w:gridCol w:w="2263"/>
        <w:gridCol w:w="1780"/>
      </w:tblGrid>
      <w:tr w:rsidR="00CC320E" w14:paraId="54E852B1" w14:textId="77777777" w:rsidTr="00F4227B">
        <w:tc>
          <w:tcPr>
            <w:tcW w:w="2263" w:type="dxa"/>
          </w:tcPr>
          <w:p w14:paraId="6E989289" w14:textId="77777777" w:rsidR="00CC320E" w:rsidRPr="00CC320E" w:rsidRDefault="00CC320E" w:rsidP="001B2D8D">
            <w:pPr>
              <w:rPr>
                <w:u w:val="single"/>
              </w:rPr>
            </w:pPr>
            <w:r>
              <w:rPr>
                <w:u w:val="single"/>
              </w:rPr>
              <w:t>Subject</w:t>
            </w:r>
          </w:p>
        </w:tc>
        <w:tc>
          <w:tcPr>
            <w:tcW w:w="1780" w:type="dxa"/>
          </w:tcPr>
          <w:p w14:paraId="6E3A7D5D" w14:textId="77777777" w:rsidR="00CC320E" w:rsidRPr="00CC320E" w:rsidRDefault="00CC320E" w:rsidP="001B2D8D">
            <w:pPr>
              <w:rPr>
                <w:u w:val="single"/>
              </w:rPr>
            </w:pPr>
            <w:r>
              <w:rPr>
                <w:u w:val="single"/>
              </w:rPr>
              <w:t>Percentage/Grade</w:t>
            </w:r>
          </w:p>
        </w:tc>
      </w:tr>
      <w:tr w:rsidR="00CC320E" w14:paraId="11FFB98E" w14:textId="77777777" w:rsidTr="00F4227B">
        <w:tc>
          <w:tcPr>
            <w:tcW w:w="2263" w:type="dxa"/>
          </w:tcPr>
          <w:p w14:paraId="6FB93E85" w14:textId="77777777" w:rsidR="00CC320E" w:rsidRPr="00CC320E" w:rsidRDefault="00CC320E" w:rsidP="001B2D8D">
            <w:r>
              <w:t>Administrative Law</w:t>
            </w:r>
          </w:p>
        </w:tc>
        <w:tc>
          <w:tcPr>
            <w:tcW w:w="1780" w:type="dxa"/>
          </w:tcPr>
          <w:p w14:paraId="30A05593" w14:textId="77777777" w:rsidR="00CC320E" w:rsidRPr="00CC320E" w:rsidRDefault="00CC320E" w:rsidP="00CC320E">
            <w:pPr>
              <w:jc w:val="center"/>
            </w:pPr>
            <w:r>
              <w:t>66%/2.1</w:t>
            </w:r>
          </w:p>
        </w:tc>
      </w:tr>
      <w:tr w:rsidR="00CC320E" w14:paraId="02721F4B" w14:textId="77777777" w:rsidTr="00F4227B">
        <w:tc>
          <w:tcPr>
            <w:tcW w:w="2263" w:type="dxa"/>
          </w:tcPr>
          <w:p w14:paraId="1A7E2533" w14:textId="77777777" w:rsidR="00CC320E" w:rsidRPr="00CC320E" w:rsidRDefault="00CC320E" w:rsidP="001B2D8D">
            <w:r>
              <w:t>Constitutional Law II</w:t>
            </w:r>
          </w:p>
        </w:tc>
        <w:tc>
          <w:tcPr>
            <w:tcW w:w="1780" w:type="dxa"/>
          </w:tcPr>
          <w:p w14:paraId="7465DA3C" w14:textId="77777777" w:rsidR="00CC320E" w:rsidRPr="00CC320E" w:rsidRDefault="00CC320E" w:rsidP="00CC320E">
            <w:pPr>
              <w:jc w:val="center"/>
            </w:pPr>
            <w:r>
              <w:t>65%/2.1</w:t>
            </w:r>
          </w:p>
        </w:tc>
      </w:tr>
      <w:tr w:rsidR="00CC320E" w14:paraId="486E6576" w14:textId="77777777" w:rsidTr="00F4227B">
        <w:tc>
          <w:tcPr>
            <w:tcW w:w="2263" w:type="dxa"/>
          </w:tcPr>
          <w:p w14:paraId="6F273E82" w14:textId="77777777" w:rsidR="00CC320E" w:rsidRPr="00CC320E" w:rsidRDefault="00CC320E" w:rsidP="001B2D8D">
            <w:r>
              <w:t>E.U. Law</w:t>
            </w:r>
          </w:p>
        </w:tc>
        <w:tc>
          <w:tcPr>
            <w:tcW w:w="1780" w:type="dxa"/>
          </w:tcPr>
          <w:p w14:paraId="4F95FF42" w14:textId="77777777" w:rsidR="00CC320E" w:rsidRPr="00CC320E" w:rsidRDefault="00CC320E" w:rsidP="00CC320E">
            <w:pPr>
              <w:jc w:val="center"/>
            </w:pPr>
            <w:r>
              <w:t>63%/2.1</w:t>
            </w:r>
          </w:p>
        </w:tc>
      </w:tr>
      <w:tr w:rsidR="00CC320E" w14:paraId="60B6D441" w14:textId="77777777" w:rsidTr="00F4227B">
        <w:tc>
          <w:tcPr>
            <w:tcW w:w="2263" w:type="dxa"/>
          </w:tcPr>
          <w:p w14:paraId="4E373B94" w14:textId="77777777" w:rsidR="00CC320E" w:rsidRPr="00CC320E" w:rsidRDefault="00CC320E" w:rsidP="001B2D8D">
            <w:r>
              <w:t>Land Law</w:t>
            </w:r>
          </w:p>
        </w:tc>
        <w:tc>
          <w:tcPr>
            <w:tcW w:w="1780" w:type="dxa"/>
          </w:tcPr>
          <w:p w14:paraId="37F58332" w14:textId="77777777" w:rsidR="00CC320E" w:rsidRPr="00CC320E" w:rsidRDefault="00F4227B" w:rsidP="00CC320E">
            <w:pPr>
              <w:jc w:val="center"/>
            </w:pPr>
            <w:r>
              <w:t>59%/2.2</w:t>
            </w:r>
          </w:p>
        </w:tc>
      </w:tr>
      <w:tr w:rsidR="00CC320E" w14:paraId="14DFD63C" w14:textId="77777777" w:rsidTr="00F4227B">
        <w:tc>
          <w:tcPr>
            <w:tcW w:w="2263" w:type="dxa"/>
          </w:tcPr>
          <w:p w14:paraId="60F99934" w14:textId="77777777" w:rsidR="00CC320E" w:rsidRPr="00CC320E" w:rsidRDefault="00CC320E" w:rsidP="001B2D8D">
            <w:r>
              <w:t>Private Law Remedies</w:t>
            </w:r>
          </w:p>
        </w:tc>
        <w:tc>
          <w:tcPr>
            <w:tcW w:w="1780" w:type="dxa"/>
          </w:tcPr>
          <w:p w14:paraId="627746B1" w14:textId="77777777" w:rsidR="00CC320E" w:rsidRPr="00CC320E" w:rsidRDefault="00F4227B" w:rsidP="00CC320E">
            <w:pPr>
              <w:jc w:val="center"/>
            </w:pPr>
            <w:r>
              <w:t>58%/2.2</w:t>
            </w:r>
          </w:p>
        </w:tc>
      </w:tr>
      <w:tr w:rsidR="00CC320E" w14:paraId="13763835" w14:textId="77777777" w:rsidTr="00F4227B">
        <w:tc>
          <w:tcPr>
            <w:tcW w:w="2263" w:type="dxa"/>
          </w:tcPr>
          <w:p w14:paraId="6A2A7EC8" w14:textId="77777777" w:rsidR="00CC320E" w:rsidRPr="00CC320E" w:rsidRDefault="00CC320E" w:rsidP="001B2D8D">
            <w:r>
              <w:t>Equity</w:t>
            </w:r>
          </w:p>
        </w:tc>
        <w:tc>
          <w:tcPr>
            <w:tcW w:w="1780" w:type="dxa"/>
          </w:tcPr>
          <w:p w14:paraId="7B4EA754" w14:textId="77777777" w:rsidR="00CC320E" w:rsidRPr="00CC320E" w:rsidRDefault="00F4227B" w:rsidP="00CC320E">
            <w:pPr>
              <w:jc w:val="center"/>
            </w:pPr>
            <w:r>
              <w:t>58%/2.2</w:t>
            </w:r>
          </w:p>
        </w:tc>
      </w:tr>
      <w:tr w:rsidR="00CC320E" w14:paraId="42A07A71" w14:textId="77777777" w:rsidTr="00F4227B">
        <w:tc>
          <w:tcPr>
            <w:tcW w:w="2263" w:type="dxa"/>
          </w:tcPr>
          <w:p w14:paraId="3956F1F1" w14:textId="251EE15D" w:rsidR="00CC320E" w:rsidRPr="00CC320E" w:rsidRDefault="004C3DA5" w:rsidP="001B2D8D">
            <w:pPr>
              <w:rPr>
                <w:b/>
              </w:rPr>
            </w:pPr>
            <w:r>
              <w:rPr>
                <w:b/>
              </w:rPr>
              <w:t>Overall Grade</w:t>
            </w:r>
          </w:p>
        </w:tc>
        <w:tc>
          <w:tcPr>
            <w:tcW w:w="1780" w:type="dxa"/>
          </w:tcPr>
          <w:p w14:paraId="578C763A" w14:textId="77777777" w:rsidR="00CC320E" w:rsidRPr="00CC320E" w:rsidRDefault="00CC320E" w:rsidP="00CC320E">
            <w:pPr>
              <w:jc w:val="center"/>
              <w:rPr>
                <w:b/>
              </w:rPr>
            </w:pPr>
            <w:r w:rsidRPr="00CC320E">
              <w:rPr>
                <w:b/>
              </w:rPr>
              <w:t>62%/2.1</w:t>
            </w:r>
          </w:p>
        </w:tc>
      </w:tr>
    </w:tbl>
    <w:tbl>
      <w:tblPr>
        <w:tblStyle w:val="TableGrid"/>
        <w:tblpPr w:leftFromText="180" w:rightFromText="180" w:vertAnchor="text" w:horzAnchor="margin" w:tblpXSpec="right" w:tblpY="-2100"/>
        <w:tblW w:w="0" w:type="auto"/>
        <w:tblLook w:val="04A0" w:firstRow="1" w:lastRow="0" w:firstColumn="1" w:lastColumn="0" w:noHBand="0" w:noVBand="1"/>
      </w:tblPr>
      <w:tblGrid>
        <w:gridCol w:w="2689"/>
        <w:gridCol w:w="1780"/>
      </w:tblGrid>
      <w:tr w:rsidR="00F4227B" w14:paraId="5D119F99" w14:textId="77777777" w:rsidTr="00F4227B">
        <w:tc>
          <w:tcPr>
            <w:tcW w:w="2689" w:type="dxa"/>
          </w:tcPr>
          <w:p w14:paraId="2186260E" w14:textId="77777777" w:rsidR="00F4227B" w:rsidRPr="00F4227B" w:rsidRDefault="00F4227B" w:rsidP="00F4227B">
            <w:pPr>
              <w:rPr>
                <w:u w:val="single"/>
              </w:rPr>
            </w:pPr>
            <w:r>
              <w:rPr>
                <w:u w:val="single"/>
              </w:rPr>
              <w:t>Subject</w:t>
            </w:r>
          </w:p>
        </w:tc>
        <w:tc>
          <w:tcPr>
            <w:tcW w:w="1780" w:type="dxa"/>
          </w:tcPr>
          <w:p w14:paraId="326EBB3B" w14:textId="77777777" w:rsidR="00F4227B" w:rsidRPr="00F4227B" w:rsidRDefault="00F4227B" w:rsidP="00F4227B">
            <w:pPr>
              <w:rPr>
                <w:u w:val="single"/>
              </w:rPr>
            </w:pPr>
            <w:r>
              <w:rPr>
                <w:u w:val="single"/>
              </w:rPr>
              <w:t>Percentage/Grade</w:t>
            </w:r>
          </w:p>
        </w:tc>
      </w:tr>
      <w:tr w:rsidR="00F4227B" w14:paraId="30BF3B25" w14:textId="77777777" w:rsidTr="00F4227B">
        <w:tc>
          <w:tcPr>
            <w:tcW w:w="2689" w:type="dxa"/>
          </w:tcPr>
          <w:p w14:paraId="08249045" w14:textId="77777777" w:rsidR="00F4227B" w:rsidRPr="00F4227B" w:rsidRDefault="00F4227B" w:rsidP="00F4227B">
            <w:r>
              <w:t>Legislation and Regulation</w:t>
            </w:r>
          </w:p>
        </w:tc>
        <w:tc>
          <w:tcPr>
            <w:tcW w:w="1780" w:type="dxa"/>
          </w:tcPr>
          <w:p w14:paraId="7DBF58D1" w14:textId="77777777" w:rsidR="00F4227B" w:rsidRPr="00F4227B" w:rsidRDefault="00F4227B" w:rsidP="00F4227B">
            <w:pPr>
              <w:jc w:val="center"/>
            </w:pPr>
            <w:r>
              <w:t>64%/2.1</w:t>
            </w:r>
          </w:p>
        </w:tc>
      </w:tr>
      <w:tr w:rsidR="00F4227B" w14:paraId="3BAE3795" w14:textId="77777777" w:rsidTr="00F4227B">
        <w:tc>
          <w:tcPr>
            <w:tcW w:w="2689" w:type="dxa"/>
          </w:tcPr>
          <w:p w14:paraId="334CBF9A" w14:textId="77777777" w:rsidR="00F4227B" w:rsidRPr="00F4227B" w:rsidRDefault="00F4227B" w:rsidP="00F4227B">
            <w:r>
              <w:t>Constitutional Law I</w:t>
            </w:r>
          </w:p>
        </w:tc>
        <w:tc>
          <w:tcPr>
            <w:tcW w:w="1780" w:type="dxa"/>
          </w:tcPr>
          <w:p w14:paraId="225F4386" w14:textId="77777777" w:rsidR="00F4227B" w:rsidRPr="00F4227B" w:rsidRDefault="00F4227B" w:rsidP="00F4227B">
            <w:pPr>
              <w:jc w:val="center"/>
            </w:pPr>
            <w:r>
              <w:t>63%/2.1</w:t>
            </w:r>
          </w:p>
        </w:tc>
      </w:tr>
      <w:tr w:rsidR="00F4227B" w14:paraId="4A11397C" w14:textId="77777777" w:rsidTr="00F4227B">
        <w:tc>
          <w:tcPr>
            <w:tcW w:w="2689" w:type="dxa"/>
          </w:tcPr>
          <w:p w14:paraId="2597290B" w14:textId="77777777" w:rsidR="00F4227B" w:rsidRPr="00F4227B" w:rsidRDefault="00F4227B" w:rsidP="00F4227B">
            <w:r>
              <w:t>Irish Legal System</w:t>
            </w:r>
          </w:p>
        </w:tc>
        <w:tc>
          <w:tcPr>
            <w:tcW w:w="1780" w:type="dxa"/>
          </w:tcPr>
          <w:p w14:paraId="330E63A3" w14:textId="77777777" w:rsidR="00F4227B" w:rsidRPr="00F4227B" w:rsidRDefault="00F4227B" w:rsidP="00F4227B">
            <w:pPr>
              <w:jc w:val="center"/>
            </w:pPr>
            <w:r>
              <w:t>63%/2.1</w:t>
            </w:r>
          </w:p>
        </w:tc>
      </w:tr>
      <w:tr w:rsidR="00F4227B" w14:paraId="45594581" w14:textId="77777777" w:rsidTr="00F4227B">
        <w:tc>
          <w:tcPr>
            <w:tcW w:w="2689" w:type="dxa"/>
          </w:tcPr>
          <w:p w14:paraId="11D718A6" w14:textId="77777777" w:rsidR="00F4227B" w:rsidRPr="00F4227B" w:rsidRDefault="00F4227B" w:rsidP="00F4227B">
            <w:r>
              <w:t>Torts</w:t>
            </w:r>
          </w:p>
        </w:tc>
        <w:tc>
          <w:tcPr>
            <w:tcW w:w="1780" w:type="dxa"/>
          </w:tcPr>
          <w:p w14:paraId="03D9608A" w14:textId="77777777" w:rsidR="00F4227B" w:rsidRPr="00F4227B" w:rsidRDefault="00F4227B" w:rsidP="00F4227B">
            <w:pPr>
              <w:jc w:val="center"/>
            </w:pPr>
            <w:r>
              <w:t>62%/2.1</w:t>
            </w:r>
          </w:p>
        </w:tc>
      </w:tr>
      <w:tr w:rsidR="00F4227B" w14:paraId="7B41AE30" w14:textId="77777777" w:rsidTr="00F4227B">
        <w:tc>
          <w:tcPr>
            <w:tcW w:w="2689" w:type="dxa"/>
          </w:tcPr>
          <w:p w14:paraId="0CCC489F" w14:textId="77777777" w:rsidR="00F4227B" w:rsidRPr="00F4227B" w:rsidRDefault="00F4227B" w:rsidP="00F4227B">
            <w:r>
              <w:t>Criminal Law</w:t>
            </w:r>
          </w:p>
        </w:tc>
        <w:tc>
          <w:tcPr>
            <w:tcW w:w="1780" w:type="dxa"/>
          </w:tcPr>
          <w:p w14:paraId="140ABEAD" w14:textId="77777777" w:rsidR="00F4227B" w:rsidRPr="00F4227B" w:rsidRDefault="00F4227B" w:rsidP="00F4227B">
            <w:pPr>
              <w:jc w:val="center"/>
            </w:pPr>
            <w:r>
              <w:t>56%/2.2</w:t>
            </w:r>
          </w:p>
        </w:tc>
      </w:tr>
      <w:tr w:rsidR="00F4227B" w14:paraId="5D1F1862" w14:textId="77777777" w:rsidTr="00F4227B">
        <w:tc>
          <w:tcPr>
            <w:tcW w:w="2689" w:type="dxa"/>
          </w:tcPr>
          <w:p w14:paraId="21C4623F" w14:textId="77777777" w:rsidR="00F4227B" w:rsidRPr="00F4227B" w:rsidRDefault="00F4227B" w:rsidP="00F4227B">
            <w:r>
              <w:t>Contract Law</w:t>
            </w:r>
          </w:p>
        </w:tc>
        <w:tc>
          <w:tcPr>
            <w:tcW w:w="1780" w:type="dxa"/>
          </w:tcPr>
          <w:p w14:paraId="05F9D9A4" w14:textId="77777777" w:rsidR="00F4227B" w:rsidRPr="00F4227B" w:rsidRDefault="00F4227B" w:rsidP="00F4227B">
            <w:pPr>
              <w:jc w:val="center"/>
            </w:pPr>
            <w:r>
              <w:t>49%/3</w:t>
            </w:r>
            <w:r w:rsidRPr="000435F0">
              <w:rPr>
                <w:vertAlign w:val="superscript"/>
              </w:rPr>
              <w:t>rd</w:t>
            </w:r>
          </w:p>
        </w:tc>
      </w:tr>
      <w:tr w:rsidR="00F4227B" w14:paraId="1BA25DF1" w14:textId="77777777" w:rsidTr="00F4227B">
        <w:tc>
          <w:tcPr>
            <w:tcW w:w="2689" w:type="dxa"/>
          </w:tcPr>
          <w:p w14:paraId="0CF73D19" w14:textId="291A2630" w:rsidR="00F4227B" w:rsidRPr="00F4227B" w:rsidRDefault="004C3DA5" w:rsidP="00F4227B">
            <w:pPr>
              <w:rPr>
                <w:b/>
              </w:rPr>
            </w:pPr>
            <w:r>
              <w:rPr>
                <w:b/>
              </w:rPr>
              <w:t>Overall Grade</w:t>
            </w:r>
          </w:p>
        </w:tc>
        <w:tc>
          <w:tcPr>
            <w:tcW w:w="1780" w:type="dxa"/>
          </w:tcPr>
          <w:p w14:paraId="03EFA53A" w14:textId="77777777" w:rsidR="00F4227B" w:rsidRPr="00F4227B" w:rsidRDefault="00F4227B" w:rsidP="00F4227B">
            <w:pPr>
              <w:jc w:val="center"/>
              <w:rPr>
                <w:b/>
              </w:rPr>
            </w:pPr>
            <w:r>
              <w:rPr>
                <w:b/>
              </w:rPr>
              <w:t>60%/2.1</w:t>
            </w:r>
          </w:p>
        </w:tc>
      </w:tr>
    </w:tbl>
    <w:p w14:paraId="3EFA9F0C" w14:textId="77777777" w:rsidR="00CC320E" w:rsidRDefault="00CC320E" w:rsidP="001B2D8D">
      <w:pPr>
        <w:spacing w:after="0"/>
        <w:rPr>
          <w:b/>
          <w:u w:val="single"/>
        </w:rPr>
      </w:pPr>
    </w:p>
    <w:p w14:paraId="2FB4678D" w14:textId="69DAAD8F" w:rsidR="00001A1D" w:rsidRDefault="002B79F8" w:rsidP="002B79F8">
      <w:pPr>
        <w:spacing w:after="0"/>
        <w:jc w:val="center"/>
        <w:rPr>
          <w:b/>
          <w:u w:val="single"/>
        </w:rPr>
      </w:pPr>
      <w:r>
        <w:rPr>
          <w:b/>
          <w:u w:val="single"/>
        </w:rPr>
        <w:t>Leaving Certificate 2014</w:t>
      </w:r>
    </w:p>
    <w:tbl>
      <w:tblPr>
        <w:tblStyle w:val="TableGrid"/>
        <w:tblW w:w="0" w:type="auto"/>
        <w:jc w:val="center"/>
        <w:tblLook w:val="04A0" w:firstRow="1" w:lastRow="0" w:firstColumn="1" w:lastColumn="0" w:noHBand="0" w:noVBand="1"/>
      </w:tblPr>
      <w:tblGrid>
        <w:gridCol w:w="1413"/>
        <w:gridCol w:w="754"/>
      </w:tblGrid>
      <w:tr w:rsidR="002B79F8" w14:paraId="075D3D24" w14:textId="77777777" w:rsidTr="002B79F8">
        <w:trPr>
          <w:jc w:val="center"/>
        </w:trPr>
        <w:tc>
          <w:tcPr>
            <w:tcW w:w="1413" w:type="dxa"/>
          </w:tcPr>
          <w:p w14:paraId="36F55E0C" w14:textId="77777777" w:rsidR="002B79F8" w:rsidRPr="002B79F8" w:rsidRDefault="002B79F8" w:rsidP="001B2D8D">
            <w:pPr>
              <w:rPr>
                <w:u w:val="single"/>
              </w:rPr>
            </w:pPr>
            <w:r>
              <w:rPr>
                <w:u w:val="single"/>
              </w:rPr>
              <w:t>Subject</w:t>
            </w:r>
          </w:p>
        </w:tc>
        <w:tc>
          <w:tcPr>
            <w:tcW w:w="283" w:type="dxa"/>
          </w:tcPr>
          <w:p w14:paraId="7E25B352" w14:textId="77777777" w:rsidR="002B79F8" w:rsidRPr="002B79F8" w:rsidRDefault="002B79F8" w:rsidP="001B2D8D">
            <w:pPr>
              <w:rPr>
                <w:u w:val="single"/>
              </w:rPr>
            </w:pPr>
            <w:r>
              <w:rPr>
                <w:u w:val="single"/>
              </w:rPr>
              <w:t>Grade</w:t>
            </w:r>
          </w:p>
        </w:tc>
      </w:tr>
      <w:tr w:rsidR="002B79F8" w14:paraId="7E2E0E9B" w14:textId="77777777" w:rsidTr="002B79F8">
        <w:trPr>
          <w:jc w:val="center"/>
        </w:trPr>
        <w:tc>
          <w:tcPr>
            <w:tcW w:w="1413" w:type="dxa"/>
          </w:tcPr>
          <w:p w14:paraId="1EFF345E" w14:textId="77777777" w:rsidR="002B79F8" w:rsidRPr="002B79F8" w:rsidRDefault="002B79F8" w:rsidP="001B2D8D">
            <w:r>
              <w:t>Irish</w:t>
            </w:r>
          </w:p>
        </w:tc>
        <w:tc>
          <w:tcPr>
            <w:tcW w:w="283" w:type="dxa"/>
          </w:tcPr>
          <w:p w14:paraId="3F88CD05" w14:textId="77777777" w:rsidR="002B79F8" w:rsidRPr="002B79F8" w:rsidRDefault="002B79F8" w:rsidP="002B79F8">
            <w:pPr>
              <w:jc w:val="center"/>
            </w:pPr>
            <w:r>
              <w:t>A1</w:t>
            </w:r>
          </w:p>
        </w:tc>
      </w:tr>
      <w:tr w:rsidR="002B79F8" w14:paraId="5A05EDEE" w14:textId="77777777" w:rsidTr="002B79F8">
        <w:trPr>
          <w:jc w:val="center"/>
        </w:trPr>
        <w:tc>
          <w:tcPr>
            <w:tcW w:w="1413" w:type="dxa"/>
          </w:tcPr>
          <w:p w14:paraId="47F34FB0" w14:textId="77777777" w:rsidR="002B79F8" w:rsidRPr="002B79F8" w:rsidRDefault="002B79F8" w:rsidP="001B2D8D">
            <w:r>
              <w:t>Spanish</w:t>
            </w:r>
          </w:p>
        </w:tc>
        <w:tc>
          <w:tcPr>
            <w:tcW w:w="283" w:type="dxa"/>
          </w:tcPr>
          <w:p w14:paraId="5C44E4AF" w14:textId="77777777" w:rsidR="002B79F8" w:rsidRPr="002B79F8" w:rsidRDefault="002B79F8" w:rsidP="002B79F8">
            <w:pPr>
              <w:jc w:val="center"/>
            </w:pPr>
            <w:r>
              <w:t>A1</w:t>
            </w:r>
          </w:p>
        </w:tc>
      </w:tr>
      <w:tr w:rsidR="002B79F8" w14:paraId="0862D251" w14:textId="77777777" w:rsidTr="002B79F8">
        <w:trPr>
          <w:jc w:val="center"/>
        </w:trPr>
        <w:tc>
          <w:tcPr>
            <w:tcW w:w="1413" w:type="dxa"/>
          </w:tcPr>
          <w:p w14:paraId="3085B3EE" w14:textId="77777777" w:rsidR="002B79F8" w:rsidRPr="002B79F8" w:rsidRDefault="002B79F8" w:rsidP="001B2D8D">
            <w:r>
              <w:t>English</w:t>
            </w:r>
          </w:p>
        </w:tc>
        <w:tc>
          <w:tcPr>
            <w:tcW w:w="283" w:type="dxa"/>
          </w:tcPr>
          <w:p w14:paraId="14547D97" w14:textId="77777777" w:rsidR="002B79F8" w:rsidRPr="002B79F8" w:rsidRDefault="002B79F8" w:rsidP="002B79F8">
            <w:pPr>
              <w:jc w:val="center"/>
            </w:pPr>
            <w:r>
              <w:t>A2</w:t>
            </w:r>
          </w:p>
        </w:tc>
      </w:tr>
      <w:tr w:rsidR="002B79F8" w14:paraId="488C0F09" w14:textId="77777777" w:rsidTr="002B79F8">
        <w:trPr>
          <w:jc w:val="center"/>
        </w:trPr>
        <w:tc>
          <w:tcPr>
            <w:tcW w:w="1413" w:type="dxa"/>
          </w:tcPr>
          <w:p w14:paraId="522B1357" w14:textId="77777777" w:rsidR="002B79F8" w:rsidRPr="002B79F8" w:rsidRDefault="002B79F8" w:rsidP="001B2D8D">
            <w:r>
              <w:t>Accounting</w:t>
            </w:r>
          </w:p>
        </w:tc>
        <w:tc>
          <w:tcPr>
            <w:tcW w:w="283" w:type="dxa"/>
          </w:tcPr>
          <w:p w14:paraId="5991C6FF" w14:textId="77777777" w:rsidR="002B79F8" w:rsidRPr="002B79F8" w:rsidRDefault="002B79F8" w:rsidP="002B79F8">
            <w:pPr>
              <w:jc w:val="center"/>
            </w:pPr>
            <w:r>
              <w:t>B1</w:t>
            </w:r>
          </w:p>
        </w:tc>
      </w:tr>
      <w:tr w:rsidR="002B79F8" w14:paraId="6F27C0CB" w14:textId="77777777" w:rsidTr="002B79F8">
        <w:trPr>
          <w:jc w:val="center"/>
        </w:trPr>
        <w:tc>
          <w:tcPr>
            <w:tcW w:w="1413" w:type="dxa"/>
          </w:tcPr>
          <w:p w14:paraId="4029A369" w14:textId="77777777" w:rsidR="002B79F8" w:rsidRPr="002B79F8" w:rsidRDefault="002B79F8" w:rsidP="001B2D8D">
            <w:r>
              <w:t>History</w:t>
            </w:r>
          </w:p>
        </w:tc>
        <w:tc>
          <w:tcPr>
            <w:tcW w:w="283" w:type="dxa"/>
          </w:tcPr>
          <w:p w14:paraId="186ED681" w14:textId="77777777" w:rsidR="002B79F8" w:rsidRPr="002B79F8" w:rsidRDefault="002B79F8" w:rsidP="002B79F8">
            <w:pPr>
              <w:jc w:val="center"/>
            </w:pPr>
            <w:r>
              <w:t>B2</w:t>
            </w:r>
          </w:p>
        </w:tc>
      </w:tr>
      <w:tr w:rsidR="002B79F8" w14:paraId="2E8DE44C" w14:textId="77777777" w:rsidTr="002B79F8">
        <w:trPr>
          <w:jc w:val="center"/>
        </w:trPr>
        <w:tc>
          <w:tcPr>
            <w:tcW w:w="1413" w:type="dxa"/>
          </w:tcPr>
          <w:p w14:paraId="631C12D8" w14:textId="77777777" w:rsidR="002B79F8" w:rsidRPr="002B79F8" w:rsidRDefault="002B79F8" w:rsidP="001B2D8D">
            <w:r>
              <w:t>Maths</w:t>
            </w:r>
          </w:p>
        </w:tc>
        <w:tc>
          <w:tcPr>
            <w:tcW w:w="283" w:type="dxa"/>
          </w:tcPr>
          <w:p w14:paraId="470BE646" w14:textId="77777777" w:rsidR="002B79F8" w:rsidRPr="002B79F8" w:rsidRDefault="002B79F8" w:rsidP="002B79F8">
            <w:pPr>
              <w:jc w:val="center"/>
            </w:pPr>
            <w:r>
              <w:t>C1</w:t>
            </w:r>
          </w:p>
        </w:tc>
      </w:tr>
      <w:tr w:rsidR="002B79F8" w14:paraId="230F8B50" w14:textId="77777777" w:rsidTr="002B79F8">
        <w:trPr>
          <w:jc w:val="center"/>
        </w:trPr>
        <w:tc>
          <w:tcPr>
            <w:tcW w:w="1413" w:type="dxa"/>
          </w:tcPr>
          <w:p w14:paraId="147BFB6C" w14:textId="77777777" w:rsidR="002B79F8" w:rsidRPr="002B79F8" w:rsidRDefault="002B79F8" w:rsidP="001B2D8D">
            <w:r>
              <w:t>Economics</w:t>
            </w:r>
          </w:p>
        </w:tc>
        <w:tc>
          <w:tcPr>
            <w:tcW w:w="283" w:type="dxa"/>
          </w:tcPr>
          <w:p w14:paraId="73692078" w14:textId="77777777" w:rsidR="002B79F8" w:rsidRPr="002B79F8" w:rsidRDefault="002B79F8" w:rsidP="002B79F8">
            <w:pPr>
              <w:jc w:val="center"/>
            </w:pPr>
            <w:r>
              <w:t>C2</w:t>
            </w:r>
          </w:p>
        </w:tc>
      </w:tr>
      <w:tr w:rsidR="002B79F8" w14:paraId="490823DE" w14:textId="77777777" w:rsidTr="002B79F8">
        <w:trPr>
          <w:jc w:val="center"/>
        </w:trPr>
        <w:tc>
          <w:tcPr>
            <w:tcW w:w="1413" w:type="dxa"/>
          </w:tcPr>
          <w:p w14:paraId="26604F4F" w14:textId="77777777" w:rsidR="002B79F8" w:rsidRPr="002B79F8" w:rsidRDefault="002B79F8" w:rsidP="001B2D8D">
            <w:pPr>
              <w:rPr>
                <w:b/>
              </w:rPr>
            </w:pPr>
            <w:r>
              <w:rPr>
                <w:b/>
              </w:rPr>
              <w:t>Total Points</w:t>
            </w:r>
          </w:p>
        </w:tc>
        <w:tc>
          <w:tcPr>
            <w:tcW w:w="283" w:type="dxa"/>
          </w:tcPr>
          <w:p w14:paraId="57CF5BF8" w14:textId="5EAADE1F" w:rsidR="002B79F8" w:rsidRPr="002B79F8" w:rsidRDefault="00412C90" w:rsidP="002B79F8">
            <w:pPr>
              <w:jc w:val="center"/>
              <w:rPr>
                <w:b/>
              </w:rPr>
            </w:pPr>
            <w:r>
              <w:rPr>
                <w:b/>
              </w:rPr>
              <w:t>55</w:t>
            </w:r>
            <w:r w:rsidR="002B79F8">
              <w:rPr>
                <w:b/>
              </w:rPr>
              <w:t>0</w:t>
            </w:r>
          </w:p>
        </w:tc>
      </w:tr>
    </w:tbl>
    <w:p w14:paraId="16E80E37" w14:textId="37262A34" w:rsidR="002B79F8" w:rsidRDefault="002B79F8" w:rsidP="001B2D8D">
      <w:pPr>
        <w:spacing w:after="0"/>
        <w:rPr>
          <w:b/>
          <w:sz w:val="24"/>
          <w:u w:val="single"/>
        </w:rPr>
      </w:pPr>
    </w:p>
    <w:p w14:paraId="3B1D2CB0" w14:textId="77777777" w:rsidR="00B66F43" w:rsidRDefault="00B66F43" w:rsidP="001B2D8D">
      <w:pPr>
        <w:spacing w:after="0"/>
        <w:rPr>
          <w:b/>
          <w:sz w:val="24"/>
          <w:u w:val="single"/>
        </w:rPr>
      </w:pPr>
    </w:p>
    <w:p w14:paraId="57C824A2" w14:textId="694820B8" w:rsidR="002B79F8" w:rsidRDefault="000E7533" w:rsidP="001B2D8D">
      <w:pPr>
        <w:spacing w:after="0"/>
        <w:rPr>
          <w:b/>
          <w:sz w:val="24"/>
          <w:u w:val="single"/>
        </w:rPr>
      </w:pPr>
      <w:r w:rsidRPr="002B79F8">
        <w:rPr>
          <w:b/>
          <w:sz w:val="24"/>
          <w:u w:val="single"/>
        </w:rPr>
        <w:lastRenderedPageBreak/>
        <w:t>Work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B66F43" w:rsidRPr="001B2D8D" w14:paraId="2814513A" w14:textId="77777777" w:rsidTr="0046012F">
        <w:tc>
          <w:tcPr>
            <w:tcW w:w="1980" w:type="dxa"/>
          </w:tcPr>
          <w:p w14:paraId="5720F923" w14:textId="77777777" w:rsidR="00B66F43" w:rsidRPr="001B2D8D" w:rsidRDefault="00B66F43" w:rsidP="0046012F">
            <w:pPr>
              <w:jc w:val="right"/>
              <w:rPr>
                <w:b/>
              </w:rPr>
            </w:pPr>
            <w:r>
              <w:rPr>
                <w:b/>
              </w:rPr>
              <w:t>P</w:t>
            </w:r>
            <w:r w:rsidRPr="001B2D8D">
              <w:rPr>
                <w:b/>
              </w:rPr>
              <w:t>osition:</w:t>
            </w:r>
          </w:p>
        </w:tc>
        <w:tc>
          <w:tcPr>
            <w:tcW w:w="7036" w:type="dxa"/>
          </w:tcPr>
          <w:p w14:paraId="27028E28" w14:textId="3FD134C7" w:rsidR="00B66F43" w:rsidRPr="001B2D8D" w:rsidRDefault="00B66F43" w:rsidP="0046012F">
            <w:r>
              <w:t>Tax Intern, PwC, Spencer Dock, Dublin</w:t>
            </w:r>
          </w:p>
        </w:tc>
      </w:tr>
      <w:tr w:rsidR="00B66F43" w:rsidRPr="001B2D8D" w14:paraId="7E24BC93" w14:textId="77777777" w:rsidTr="0046012F">
        <w:tc>
          <w:tcPr>
            <w:tcW w:w="1980" w:type="dxa"/>
          </w:tcPr>
          <w:p w14:paraId="2E7CD67E" w14:textId="77777777" w:rsidR="00B66F43" w:rsidRPr="001B2D8D" w:rsidRDefault="00B66F43" w:rsidP="0046012F">
            <w:pPr>
              <w:jc w:val="right"/>
              <w:rPr>
                <w:b/>
              </w:rPr>
            </w:pPr>
            <w:r w:rsidRPr="001B2D8D">
              <w:rPr>
                <w:b/>
              </w:rPr>
              <w:t>Date:</w:t>
            </w:r>
          </w:p>
        </w:tc>
        <w:tc>
          <w:tcPr>
            <w:tcW w:w="7036" w:type="dxa"/>
          </w:tcPr>
          <w:p w14:paraId="063D7100" w14:textId="5BBF14DD" w:rsidR="00B66F43" w:rsidRPr="001B2D8D" w:rsidRDefault="00266C49" w:rsidP="0046012F">
            <w:r>
              <w:t>June 2017 – August 2017</w:t>
            </w:r>
          </w:p>
        </w:tc>
      </w:tr>
      <w:tr w:rsidR="00B66F43" w:rsidRPr="001B2D8D" w14:paraId="1E399ADE" w14:textId="77777777" w:rsidTr="0046012F">
        <w:tc>
          <w:tcPr>
            <w:tcW w:w="1980" w:type="dxa"/>
          </w:tcPr>
          <w:p w14:paraId="626360B7" w14:textId="77777777" w:rsidR="00B66F43" w:rsidRPr="001B2D8D" w:rsidRDefault="00B66F43" w:rsidP="0046012F">
            <w:pPr>
              <w:jc w:val="right"/>
              <w:rPr>
                <w:b/>
              </w:rPr>
            </w:pPr>
            <w:r w:rsidRPr="001B2D8D">
              <w:rPr>
                <w:b/>
              </w:rPr>
              <w:t>Responsibilities:</w:t>
            </w:r>
          </w:p>
        </w:tc>
        <w:tc>
          <w:tcPr>
            <w:tcW w:w="7036" w:type="dxa"/>
          </w:tcPr>
          <w:p w14:paraId="417AC739" w14:textId="35303F42" w:rsidR="00B66F43" w:rsidRPr="0046012F" w:rsidRDefault="00266C49" w:rsidP="0046012F">
            <w:pPr>
              <w:pStyle w:val="Body"/>
              <w:rPr>
                <w:rFonts w:ascii="Times New Roman" w:hAnsi="Times New Roman"/>
              </w:rPr>
            </w:pPr>
            <w:r>
              <w:rPr>
                <w:rFonts w:ascii="Times New Roman" w:hAnsi="Times New Roman"/>
                <w:sz w:val="22"/>
              </w:rPr>
              <w:t>In my role as a Tax Intern, I was</w:t>
            </w:r>
            <w:r w:rsidR="0046012F" w:rsidRPr="0046012F">
              <w:rPr>
                <w:rFonts w:ascii="Times New Roman" w:hAnsi="Times New Roman"/>
                <w:sz w:val="22"/>
              </w:rPr>
              <w:t xml:space="preserve"> part of PwC’s Transfer </w:t>
            </w:r>
            <w:r>
              <w:rPr>
                <w:rFonts w:ascii="Times New Roman" w:hAnsi="Times New Roman"/>
                <w:sz w:val="22"/>
              </w:rPr>
              <w:t xml:space="preserve">Pricing team. This position </w:t>
            </w:r>
            <w:r w:rsidR="0046012F" w:rsidRPr="0046012F">
              <w:rPr>
                <w:rFonts w:ascii="Times New Roman" w:hAnsi="Times New Roman"/>
                <w:sz w:val="22"/>
              </w:rPr>
              <w:t>required me to complete risk management and anti-laundering procedures for new clients and projects, to undertake value chain analyses, through peer reviews and analysis of final accounts, and benchmarking analyses, using TP Catalyst to generate relevant information to allow me the TP team to draft and edit benchmarking reports. As part of the inte</w:t>
            </w:r>
            <w:r>
              <w:rPr>
                <w:rFonts w:ascii="Times New Roman" w:hAnsi="Times New Roman"/>
                <w:sz w:val="22"/>
              </w:rPr>
              <w:t xml:space="preserve">rnship programme in PwC, I </w:t>
            </w:r>
            <w:r w:rsidR="0046012F" w:rsidRPr="0046012F">
              <w:rPr>
                <w:rFonts w:ascii="Times New Roman" w:hAnsi="Times New Roman"/>
                <w:sz w:val="22"/>
              </w:rPr>
              <w:t>worked alongside a team of fellow interns to create a project on one of PwC Ireland’</w:t>
            </w:r>
            <w:r>
              <w:rPr>
                <w:rFonts w:ascii="Times New Roman" w:hAnsi="Times New Roman"/>
                <w:sz w:val="22"/>
              </w:rPr>
              <w:t>s main clients. The main task was</w:t>
            </w:r>
            <w:r w:rsidR="0046012F" w:rsidRPr="0046012F">
              <w:rPr>
                <w:rFonts w:ascii="Times New Roman" w:hAnsi="Times New Roman"/>
                <w:sz w:val="22"/>
              </w:rPr>
              <w:t xml:space="preserve"> to highlight the professional services that PwC already provides to the client, while commenting on how these services can be improved and how further services can</w:t>
            </w:r>
            <w:r>
              <w:rPr>
                <w:rFonts w:ascii="Times New Roman" w:hAnsi="Times New Roman"/>
                <w:sz w:val="22"/>
              </w:rPr>
              <w:t xml:space="preserve"> be provided by the firm. I </w:t>
            </w:r>
            <w:r w:rsidR="0046012F" w:rsidRPr="0046012F">
              <w:rPr>
                <w:rFonts w:ascii="Times New Roman" w:hAnsi="Times New Roman"/>
                <w:sz w:val="22"/>
              </w:rPr>
              <w:t>also attended various seminars on topics such as communications skills, networking and data analy</w:t>
            </w:r>
            <w:r>
              <w:rPr>
                <w:rFonts w:ascii="Times New Roman" w:hAnsi="Times New Roman"/>
                <w:sz w:val="22"/>
              </w:rPr>
              <w:t xml:space="preserve">tics, which </w:t>
            </w:r>
            <w:r w:rsidR="0046012F" w:rsidRPr="0046012F">
              <w:rPr>
                <w:rFonts w:ascii="Times New Roman" w:hAnsi="Times New Roman"/>
                <w:sz w:val="22"/>
              </w:rPr>
              <w:t>helped me to learn the qualities required to be a successful modern professional.</w:t>
            </w:r>
          </w:p>
        </w:tc>
      </w:tr>
    </w:tbl>
    <w:p w14:paraId="22C66B5E" w14:textId="7313BC05" w:rsidR="00B66F43" w:rsidRDefault="00B66F43" w:rsidP="001B2D8D">
      <w:pPr>
        <w:spacing w:after="0"/>
        <w:rPr>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0E7533" w:rsidRPr="001B2D8D" w14:paraId="2D287F41" w14:textId="77777777" w:rsidTr="00E53994">
        <w:tc>
          <w:tcPr>
            <w:tcW w:w="1980" w:type="dxa"/>
          </w:tcPr>
          <w:p w14:paraId="3432330B" w14:textId="77777777" w:rsidR="000E7533" w:rsidRPr="001B2D8D" w:rsidRDefault="002B79F8" w:rsidP="001B2D8D">
            <w:pPr>
              <w:jc w:val="right"/>
              <w:rPr>
                <w:b/>
              </w:rPr>
            </w:pPr>
            <w:r>
              <w:rPr>
                <w:b/>
              </w:rPr>
              <w:t>P</w:t>
            </w:r>
            <w:r w:rsidR="000E7533" w:rsidRPr="001B2D8D">
              <w:rPr>
                <w:b/>
              </w:rPr>
              <w:t>osition:</w:t>
            </w:r>
          </w:p>
        </w:tc>
        <w:tc>
          <w:tcPr>
            <w:tcW w:w="7036" w:type="dxa"/>
          </w:tcPr>
          <w:p w14:paraId="04DCFED2" w14:textId="77777777" w:rsidR="000E7533" w:rsidRPr="001B2D8D" w:rsidRDefault="000E7533" w:rsidP="001B2D8D">
            <w:r w:rsidRPr="001B2D8D">
              <w:t>Sales Associate, Louis Copeland &amp; Sons, Dundrum</w:t>
            </w:r>
          </w:p>
        </w:tc>
      </w:tr>
      <w:tr w:rsidR="000E7533" w:rsidRPr="001B2D8D" w14:paraId="170CF8EE" w14:textId="77777777" w:rsidTr="00E53994">
        <w:tc>
          <w:tcPr>
            <w:tcW w:w="1980" w:type="dxa"/>
          </w:tcPr>
          <w:p w14:paraId="05A6A69A" w14:textId="77777777" w:rsidR="000E7533" w:rsidRPr="001B2D8D" w:rsidRDefault="000E7533" w:rsidP="001B2D8D">
            <w:pPr>
              <w:jc w:val="right"/>
              <w:rPr>
                <w:b/>
              </w:rPr>
            </w:pPr>
            <w:r w:rsidRPr="001B2D8D">
              <w:rPr>
                <w:b/>
              </w:rPr>
              <w:t>Date:</w:t>
            </w:r>
          </w:p>
        </w:tc>
        <w:tc>
          <w:tcPr>
            <w:tcW w:w="7036" w:type="dxa"/>
          </w:tcPr>
          <w:p w14:paraId="65520815" w14:textId="77777777" w:rsidR="000E7533" w:rsidRPr="001B2D8D" w:rsidRDefault="000E7533" w:rsidP="001B2D8D">
            <w:r w:rsidRPr="001B2D8D">
              <w:t>May 2016 – August 2016</w:t>
            </w:r>
          </w:p>
        </w:tc>
      </w:tr>
      <w:tr w:rsidR="000E7533" w:rsidRPr="001B2D8D" w14:paraId="4F6206F4" w14:textId="77777777" w:rsidTr="00E53994">
        <w:tc>
          <w:tcPr>
            <w:tcW w:w="1980" w:type="dxa"/>
          </w:tcPr>
          <w:p w14:paraId="67B67A21" w14:textId="77777777" w:rsidR="000E7533" w:rsidRPr="001B2D8D" w:rsidRDefault="000E7533" w:rsidP="001B2D8D">
            <w:pPr>
              <w:jc w:val="right"/>
              <w:rPr>
                <w:b/>
              </w:rPr>
            </w:pPr>
            <w:r w:rsidRPr="001B2D8D">
              <w:rPr>
                <w:b/>
              </w:rPr>
              <w:t>Responsibilities:</w:t>
            </w:r>
          </w:p>
        </w:tc>
        <w:tc>
          <w:tcPr>
            <w:tcW w:w="7036" w:type="dxa"/>
          </w:tcPr>
          <w:p w14:paraId="5E78429E" w14:textId="77777777" w:rsidR="00281F76" w:rsidRPr="001B2D8D" w:rsidRDefault="000E7533" w:rsidP="001B2D8D">
            <w:r w:rsidRPr="001B2D8D">
              <w:t>Directly selling to customers, providing excellent customer service and creating a positive, person</w:t>
            </w:r>
            <w:r w:rsidR="00023FCA" w:rsidRPr="001B2D8D">
              <w:t xml:space="preserve">al relationship with customers </w:t>
            </w:r>
            <w:r w:rsidR="00E53994" w:rsidRPr="001B2D8D">
              <w:t xml:space="preserve">to </w:t>
            </w:r>
            <w:r w:rsidR="00E162F7" w:rsidRPr="001B2D8D">
              <w:t>maintain their loyal custom.</w:t>
            </w:r>
          </w:p>
          <w:p w14:paraId="46A08030" w14:textId="77777777" w:rsidR="00281F76" w:rsidRPr="001B2D8D" w:rsidRDefault="000E7533" w:rsidP="001B2D8D">
            <w:r w:rsidRPr="001B2D8D">
              <w:t>Maintaining and organising the shop floor,</w:t>
            </w:r>
            <w:r w:rsidR="00281F76" w:rsidRPr="001B2D8D">
              <w:t xml:space="preserve"> </w:t>
            </w:r>
            <w:r w:rsidR="00BA58E2" w:rsidRPr="001B2D8D">
              <w:t>fitting rooms and</w:t>
            </w:r>
            <w:r w:rsidR="00023FCA" w:rsidRPr="001B2D8D">
              <w:t xml:space="preserve"> stock</w:t>
            </w:r>
            <w:r w:rsidR="00BA58E2" w:rsidRPr="001B2D8D">
              <w:t>rooms to allow for the efficient day-to-day running of the shop.</w:t>
            </w:r>
          </w:p>
          <w:p w14:paraId="166294A5" w14:textId="5F4A5F7B" w:rsidR="000E7533" w:rsidRPr="001B2D8D" w:rsidRDefault="000E7533" w:rsidP="001B2D8D">
            <w:r w:rsidRPr="001B2D8D">
              <w:t xml:space="preserve">Contributing to </w:t>
            </w:r>
            <w:r w:rsidR="008A522E" w:rsidRPr="001B2D8D">
              <w:t>visual merchandising and window displays</w:t>
            </w:r>
            <w:r w:rsidRPr="001B2D8D">
              <w:t xml:space="preserve"> and ensuring products were di</w:t>
            </w:r>
            <w:r w:rsidR="00023FCA" w:rsidRPr="001B2D8D">
              <w:t>splayed in an appealing manner in order to attract</w:t>
            </w:r>
            <w:r w:rsidR="008A522E" w:rsidRPr="001B2D8D">
              <w:t xml:space="preserve"> </w:t>
            </w:r>
            <w:proofErr w:type="gramStart"/>
            <w:r w:rsidR="008A522E" w:rsidRPr="001B2D8D">
              <w:t>customers.</w:t>
            </w:r>
            <w:r w:rsidR="001B22C3">
              <w:softHyphen/>
            </w:r>
            <w:proofErr w:type="gramEnd"/>
            <w:r w:rsidR="001B22C3">
              <w:softHyphen/>
            </w:r>
          </w:p>
          <w:p w14:paraId="5EED444C" w14:textId="77777777" w:rsidR="00E5706D" w:rsidRPr="001B2D8D" w:rsidRDefault="00281F76" w:rsidP="001B2D8D">
            <w:r w:rsidRPr="001B2D8D">
              <w:t>Ensuring cash totals were correct, properly recorded and safely stored a</w:t>
            </w:r>
            <w:r w:rsidR="00023FCA" w:rsidRPr="001B2D8D">
              <w:t>t the end of each day to guarantee the shop’s daily sales figures were appropriatel</w:t>
            </w:r>
            <w:r w:rsidR="00494BB4" w:rsidRPr="001B2D8D">
              <w:t>y accounted for.</w:t>
            </w:r>
          </w:p>
        </w:tc>
      </w:tr>
    </w:tbl>
    <w:p w14:paraId="7EB19554" w14:textId="77777777" w:rsidR="00550E14" w:rsidRPr="001B2D8D" w:rsidRDefault="00550E14" w:rsidP="001B2D8D">
      <w:pPr>
        <w:spacing w:after="0"/>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281F76" w:rsidRPr="001B2D8D" w14:paraId="75A1258F" w14:textId="77777777" w:rsidTr="00E53994">
        <w:tc>
          <w:tcPr>
            <w:tcW w:w="1980" w:type="dxa"/>
          </w:tcPr>
          <w:p w14:paraId="7DBABDC9" w14:textId="77777777" w:rsidR="00281F76" w:rsidRPr="001B2D8D" w:rsidRDefault="00281F76" w:rsidP="001B2D8D">
            <w:pPr>
              <w:jc w:val="right"/>
              <w:rPr>
                <w:b/>
              </w:rPr>
            </w:pPr>
            <w:r w:rsidRPr="001B2D8D">
              <w:rPr>
                <w:b/>
              </w:rPr>
              <w:t>Position:</w:t>
            </w:r>
          </w:p>
        </w:tc>
        <w:tc>
          <w:tcPr>
            <w:tcW w:w="7036" w:type="dxa"/>
          </w:tcPr>
          <w:p w14:paraId="000FB50B" w14:textId="77777777" w:rsidR="00281F76" w:rsidRPr="001B2D8D" w:rsidRDefault="00281F76" w:rsidP="001B2D8D">
            <w:r w:rsidRPr="001B2D8D">
              <w:t>Sales Advisor, Jaeger, Arnotts Department Store</w:t>
            </w:r>
          </w:p>
        </w:tc>
      </w:tr>
      <w:tr w:rsidR="00281F76" w:rsidRPr="001B2D8D" w14:paraId="66EB8E2D" w14:textId="77777777" w:rsidTr="00E53994">
        <w:tc>
          <w:tcPr>
            <w:tcW w:w="1980" w:type="dxa"/>
          </w:tcPr>
          <w:p w14:paraId="422AD27E" w14:textId="77777777" w:rsidR="00281F76" w:rsidRPr="001B2D8D" w:rsidRDefault="00281F76" w:rsidP="001B2D8D">
            <w:pPr>
              <w:jc w:val="right"/>
              <w:rPr>
                <w:b/>
              </w:rPr>
            </w:pPr>
            <w:r w:rsidRPr="001B2D8D">
              <w:rPr>
                <w:b/>
              </w:rPr>
              <w:t>Date:</w:t>
            </w:r>
          </w:p>
        </w:tc>
        <w:tc>
          <w:tcPr>
            <w:tcW w:w="7036" w:type="dxa"/>
          </w:tcPr>
          <w:p w14:paraId="7FD9F07B" w14:textId="77777777" w:rsidR="00281F76" w:rsidRPr="001B2D8D" w:rsidRDefault="00281F76" w:rsidP="001B2D8D">
            <w:r w:rsidRPr="001B2D8D">
              <w:t>May 2015 – February 2016</w:t>
            </w:r>
          </w:p>
        </w:tc>
      </w:tr>
      <w:tr w:rsidR="00281F76" w:rsidRPr="001B2D8D" w14:paraId="78664FE9" w14:textId="77777777" w:rsidTr="00E53994">
        <w:tc>
          <w:tcPr>
            <w:tcW w:w="1980" w:type="dxa"/>
          </w:tcPr>
          <w:p w14:paraId="75BA38F9" w14:textId="77777777" w:rsidR="00281F76" w:rsidRPr="001B2D8D" w:rsidRDefault="00281F76" w:rsidP="001B2D8D">
            <w:pPr>
              <w:jc w:val="right"/>
              <w:rPr>
                <w:b/>
              </w:rPr>
            </w:pPr>
            <w:r w:rsidRPr="001B2D8D">
              <w:rPr>
                <w:b/>
              </w:rPr>
              <w:t>Responsibilities:</w:t>
            </w:r>
          </w:p>
        </w:tc>
        <w:tc>
          <w:tcPr>
            <w:tcW w:w="7036" w:type="dxa"/>
          </w:tcPr>
          <w:p w14:paraId="0428A67E" w14:textId="77777777" w:rsidR="00281F76" w:rsidRPr="001B2D8D" w:rsidRDefault="00281F76" w:rsidP="001B2D8D">
            <w:r w:rsidRPr="001B2D8D">
              <w:t xml:space="preserve">Directly selling to customers and providing excellent customer service </w:t>
            </w:r>
            <w:proofErr w:type="gramStart"/>
            <w:r w:rsidRPr="001B2D8D">
              <w:t>through the use of</w:t>
            </w:r>
            <w:proofErr w:type="gramEnd"/>
            <w:r w:rsidRPr="001B2D8D">
              <w:t xml:space="preserve"> extensive product knowledge and </w:t>
            </w:r>
            <w:r w:rsidR="00BA58E2" w:rsidRPr="001B2D8D">
              <w:t>high quality interpersonal skills.</w:t>
            </w:r>
          </w:p>
          <w:p w14:paraId="2687D0F8" w14:textId="77777777" w:rsidR="00023FCA" w:rsidRPr="001B2D8D" w:rsidRDefault="00023FCA" w:rsidP="001B2D8D">
            <w:r w:rsidRPr="001B2D8D">
              <w:t>Maintaining and organising the shop floor, fitting rooms and stockrooms to allow for efficient day-to-day running of the concession.</w:t>
            </w:r>
          </w:p>
          <w:p w14:paraId="43687F7A" w14:textId="77777777" w:rsidR="00E5706D" w:rsidRPr="00E5706D" w:rsidRDefault="00E5706D" w:rsidP="00E5706D">
            <w:pPr>
              <w:widowControl w:val="0"/>
              <w:autoSpaceDE w:val="0"/>
              <w:autoSpaceDN w:val="0"/>
              <w:adjustRightInd w:val="0"/>
              <w:jc w:val="both"/>
            </w:pPr>
            <w:r w:rsidRPr="00E5706D">
              <w:t>Develop</w:t>
            </w:r>
            <w:r>
              <w:t>ing and improving</w:t>
            </w:r>
            <w:r w:rsidRPr="00E5706D">
              <w:t xml:space="preserve"> the display of Jaeger goods on the shop floor to max</w:t>
            </w:r>
            <w:r>
              <w:t>im</w:t>
            </w:r>
            <w:r w:rsidRPr="00E5706D">
              <w:t>ise sales.</w:t>
            </w:r>
          </w:p>
          <w:p w14:paraId="1AEF4CCE" w14:textId="77777777" w:rsidR="008A522E" w:rsidRPr="001B2D8D" w:rsidRDefault="008A522E" w:rsidP="001B2D8D">
            <w:r w:rsidRPr="001B2D8D">
              <w:t>Processing orders and deliveries on a weekly basis to make a record of the products that we had in stock and so that this stock could be displayed promptly after its arrival.</w:t>
            </w:r>
          </w:p>
          <w:p w14:paraId="69623A5F" w14:textId="77777777" w:rsidR="008A522E" w:rsidRPr="001B2D8D" w:rsidRDefault="00E5706D" w:rsidP="001B2D8D">
            <w:r>
              <w:t>Sending weekly reports</w:t>
            </w:r>
            <w:r w:rsidR="008A522E" w:rsidRPr="001B2D8D">
              <w:t xml:space="preserve"> to Jaeger Head Office to provide information on weekly </w:t>
            </w:r>
            <w:r>
              <w:t>sales</w:t>
            </w:r>
            <w:r w:rsidR="006267AD" w:rsidRPr="001B2D8D">
              <w:t>, popular products</w:t>
            </w:r>
            <w:r w:rsidR="008A522E" w:rsidRPr="001B2D8D">
              <w:t xml:space="preserve"> and competitors’ performances. </w:t>
            </w:r>
          </w:p>
        </w:tc>
      </w:tr>
    </w:tbl>
    <w:p w14:paraId="08149216" w14:textId="77777777" w:rsidR="00281F76" w:rsidRDefault="00281F76" w:rsidP="001B2D8D">
      <w:pPr>
        <w:spacing w:after="0"/>
      </w:pPr>
    </w:p>
    <w:p w14:paraId="1C8E41EA" w14:textId="77777777" w:rsidR="00B014E2" w:rsidRDefault="00B014E2" w:rsidP="001B2D8D">
      <w:pPr>
        <w:spacing w:after="0"/>
        <w:rPr>
          <w:b/>
          <w:u w:val="single"/>
        </w:rPr>
      </w:pPr>
    </w:p>
    <w:p w14:paraId="41220570" w14:textId="77777777" w:rsidR="00B014E2" w:rsidRDefault="00B014E2" w:rsidP="001B2D8D">
      <w:pPr>
        <w:spacing w:after="0"/>
        <w:rPr>
          <w:b/>
          <w:u w:val="single"/>
        </w:rPr>
      </w:pPr>
    </w:p>
    <w:p w14:paraId="51365CFA" w14:textId="77777777" w:rsidR="00B014E2" w:rsidRDefault="00B014E2" w:rsidP="001B2D8D">
      <w:pPr>
        <w:spacing w:after="0"/>
        <w:rPr>
          <w:b/>
          <w:u w:val="single"/>
        </w:rPr>
      </w:pPr>
    </w:p>
    <w:p w14:paraId="7AA3B568" w14:textId="77777777" w:rsidR="00B014E2" w:rsidRDefault="00B014E2" w:rsidP="001B2D8D">
      <w:pPr>
        <w:spacing w:after="0"/>
        <w:rPr>
          <w:b/>
          <w:u w:val="single"/>
        </w:rPr>
      </w:pPr>
    </w:p>
    <w:p w14:paraId="16C35315" w14:textId="4E216E32" w:rsidR="001B22C3" w:rsidRDefault="001B22C3" w:rsidP="001B2D8D">
      <w:pPr>
        <w:spacing w:after="0"/>
        <w:rPr>
          <w:b/>
          <w:u w:val="single"/>
        </w:rPr>
      </w:pPr>
    </w:p>
    <w:p w14:paraId="3F96FA2A" w14:textId="77777777" w:rsidR="007D4CD8" w:rsidRDefault="007D4CD8" w:rsidP="007D4CD8">
      <w:pPr>
        <w:spacing w:after="0"/>
        <w:rPr>
          <w:b/>
          <w:u w:val="single"/>
        </w:rPr>
      </w:pPr>
      <w:r>
        <w:rPr>
          <w:b/>
          <w:u w:val="single"/>
        </w:rPr>
        <w:lastRenderedPageBreak/>
        <w:t>Achievements and Other Responsibilities</w:t>
      </w:r>
    </w:p>
    <w:p w14:paraId="1E07F9CC" w14:textId="77777777" w:rsidR="007D4CD8" w:rsidRDefault="007D4CD8" w:rsidP="007D4CD8">
      <w:pPr>
        <w:spacing w:after="0"/>
      </w:pPr>
      <w:r>
        <w:t>Member of Niteline publicity team in Trinity College, aiming to promote and increase the profile of Niteline, a confidential listening service, across campus.</w:t>
      </w:r>
    </w:p>
    <w:p w14:paraId="3306C719" w14:textId="77777777" w:rsidR="007D4CD8" w:rsidRDefault="007D4CD8" w:rsidP="007D4CD8">
      <w:pPr>
        <w:spacing w:after="0"/>
      </w:pPr>
      <w:r>
        <w:t xml:space="preserve">Currently volunteering in the “SUAS </w:t>
      </w:r>
      <w:proofErr w:type="spellStart"/>
      <w:r>
        <w:t>Ar</w:t>
      </w:r>
      <w:proofErr w:type="spellEnd"/>
      <w:r>
        <w:t xml:space="preserve"> </w:t>
      </w:r>
      <w:proofErr w:type="spellStart"/>
      <w:r>
        <w:t>Scoil</w:t>
      </w:r>
      <w:proofErr w:type="spellEnd"/>
      <w:r>
        <w:t>” programme, teaching Law to students in a DEIS school.</w:t>
      </w:r>
    </w:p>
    <w:p w14:paraId="2610E892" w14:textId="77777777" w:rsidR="007D4CD8" w:rsidRDefault="007D4CD8" w:rsidP="007D4CD8">
      <w:pPr>
        <w:spacing w:after="0"/>
      </w:pPr>
      <w:r>
        <w:t xml:space="preserve">Co-creator of “The Bar </w:t>
      </w:r>
      <w:proofErr w:type="spellStart"/>
      <w:r>
        <w:t>Stoolers</w:t>
      </w:r>
      <w:proofErr w:type="spellEnd"/>
      <w:r>
        <w:t>”, an online video series following Irish football covering all aspects of the game in Ireland from the domestic league to underage and senior men’s and women’s international teams.</w:t>
      </w:r>
    </w:p>
    <w:p w14:paraId="71B6DE63" w14:textId="77777777" w:rsidR="007D4CD8" w:rsidRDefault="007D4CD8" w:rsidP="007D4CD8">
      <w:pPr>
        <w:spacing w:after="0"/>
      </w:pPr>
      <w:r>
        <w:t>Participating in Trinity Musical Theatre Society’s production of “Evita”.</w:t>
      </w:r>
    </w:p>
    <w:p w14:paraId="0F7E6265" w14:textId="77777777" w:rsidR="007D4CD8" w:rsidRDefault="007D4CD8" w:rsidP="007D4CD8">
      <w:pPr>
        <w:spacing w:after="0"/>
      </w:pPr>
      <w:r>
        <w:t>As a member of Trinity College Law Society, helped to raise funds for Mercy Law Resource Centre through various activities on the annual Law Day.</w:t>
      </w:r>
    </w:p>
    <w:p w14:paraId="7E917BDA" w14:textId="77777777" w:rsidR="007D4CD8" w:rsidRDefault="007D4CD8" w:rsidP="007D4CD8">
      <w:pPr>
        <w:spacing w:after="0"/>
      </w:pPr>
      <w:r>
        <w:t>Volunteered as a student mentor in my 2</w:t>
      </w:r>
      <w:r w:rsidRPr="0020089E">
        <w:rPr>
          <w:vertAlign w:val="superscript"/>
        </w:rPr>
        <w:t>nd</w:t>
      </w:r>
      <w:r>
        <w:t xml:space="preserve"> year of college to aid incoming first year students to adapt to college life, both socially and academically.</w:t>
      </w:r>
    </w:p>
    <w:p w14:paraId="2E495F1F" w14:textId="77777777" w:rsidR="007D4CD8" w:rsidRDefault="007D4CD8" w:rsidP="007D4CD8">
      <w:pPr>
        <w:spacing w:after="0"/>
      </w:pPr>
      <w:r>
        <w:t>Participated in Moot Court and Mock Trial competitions run by Trinity College Law Society, both as a competitor and judge.</w:t>
      </w:r>
    </w:p>
    <w:p w14:paraId="4FD2E4BA" w14:textId="77777777" w:rsidR="007D4CD8" w:rsidRDefault="007D4CD8" w:rsidP="007D4CD8">
      <w:pPr>
        <w:spacing w:after="0"/>
      </w:pPr>
      <w:r>
        <w:t>Represented Trinity College and Leinster at a national level in badminton.</w:t>
      </w:r>
    </w:p>
    <w:p w14:paraId="689DA3D0" w14:textId="77777777" w:rsidR="007D4CD8" w:rsidRDefault="007D4CD8" w:rsidP="007D4CD8">
      <w:pPr>
        <w:spacing w:after="0"/>
      </w:pPr>
      <w:r>
        <w:t>Former member of Emory University Rugby Club, representing the college at intervarsity level.</w:t>
      </w:r>
    </w:p>
    <w:p w14:paraId="02A24027" w14:textId="77777777" w:rsidR="007D4CD8" w:rsidRDefault="007D4CD8" w:rsidP="007D4CD8">
      <w:pPr>
        <w:spacing w:after="0"/>
      </w:pPr>
    </w:p>
    <w:p w14:paraId="2583C6A0" w14:textId="77777777" w:rsidR="007D4CD8" w:rsidRDefault="007D4CD8" w:rsidP="007D4CD8">
      <w:pPr>
        <w:spacing w:after="0"/>
        <w:rPr>
          <w:b/>
          <w:u w:val="single"/>
        </w:rPr>
      </w:pPr>
      <w:r>
        <w:rPr>
          <w:b/>
          <w:u w:val="single"/>
        </w:rPr>
        <w:t>Referees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7D4CD8" w14:paraId="6455A2C0" w14:textId="77777777" w:rsidTr="007737BB">
        <w:tc>
          <w:tcPr>
            <w:tcW w:w="4258" w:type="dxa"/>
          </w:tcPr>
          <w:p w14:paraId="4B67B348" w14:textId="77777777" w:rsidR="007D4CD8" w:rsidRDefault="007D4CD8" w:rsidP="007737BB">
            <w:r>
              <w:t>Blanaid Clarke,</w:t>
            </w:r>
          </w:p>
        </w:tc>
      </w:tr>
      <w:tr w:rsidR="007D4CD8" w14:paraId="0955921F" w14:textId="77777777" w:rsidTr="007737BB">
        <w:tc>
          <w:tcPr>
            <w:tcW w:w="4258" w:type="dxa"/>
          </w:tcPr>
          <w:p w14:paraId="44519889" w14:textId="77777777" w:rsidR="007D4CD8" w:rsidRDefault="007D4CD8" w:rsidP="007737BB">
            <w:r>
              <w:t>McCann FitzGerald Chair in Corporate Law,</w:t>
            </w:r>
          </w:p>
        </w:tc>
      </w:tr>
      <w:tr w:rsidR="007D4CD8" w14:paraId="7054F74A" w14:textId="77777777" w:rsidTr="007737BB">
        <w:tc>
          <w:tcPr>
            <w:tcW w:w="4258" w:type="dxa"/>
          </w:tcPr>
          <w:p w14:paraId="32D35447" w14:textId="77777777" w:rsidR="007D4CD8" w:rsidRDefault="007D4CD8" w:rsidP="007737BB">
            <w:r>
              <w:t>Trinity College Dublin,</w:t>
            </w:r>
          </w:p>
        </w:tc>
      </w:tr>
      <w:tr w:rsidR="007D4CD8" w14:paraId="3AB05A29" w14:textId="77777777" w:rsidTr="007737BB">
        <w:tc>
          <w:tcPr>
            <w:tcW w:w="4258" w:type="dxa"/>
          </w:tcPr>
          <w:p w14:paraId="069FC760" w14:textId="77777777" w:rsidR="007D4CD8" w:rsidRDefault="007D4CD8" w:rsidP="007737BB">
            <w:r>
              <w:t>blanaid.clarke</w:t>
            </w:r>
            <w:r w:rsidRPr="00264A7F">
              <w:t>@tcd.ie</w:t>
            </w:r>
          </w:p>
        </w:tc>
      </w:tr>
      <w:tr w:rsidR="007D4CD8" w14:paraId="2BEEB909" w14:textId="77777777" w:rsidTr="007737BB">
        <w:tc>
          <w:tcPr>
            <w:tcW w:w="4258" w:type="dxa"/>
          </w:tcPr>
          <w:p w14:paraId="1A7F97C9" w14:textId="77777777" w:rsidR="007D4CD8" w:rsidRDefault="007D4CD8" w:rsidP="007737BB">
            <w:r w:rsidRPr="00345B65">
              <w:t>018961278</w:t>
            </w:r>
          </w:p>
        </w:tc>
      </w:tr>
    </w:tbl>
    <w:tbl>
      <w:tblPr>
        <w:tblStyle w:val="TableGrid"/>
        <w:tblpPr w:leftFromText="180" w:rightFromText="180" w:vertAnchor="text" w:horzAnchor="margin" w:tblpXSpec="right" w:tblpY="-1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7D4CD8" w14:paraId="4D6E3BC0" w14:textId="77777777" w:rsidTr="007737BB">
        <w:tc>
          <w:tcPr>
            <w:tcW w:w="4258" w:type="dxa"/>
          </w:tcPr>
          <w:p w14:paraId="003D5EE6" w14:textId="77777777" w:rsidR="007D4CD8" w:rsidRDefault="007D4CD8" w:rsidP="007737BB">
            <w:r>
              <w:t>Peter Tamosaitis,</w:t>
            </w:r>
          </w:p>
        </w:tc>
      </w:tr>
      <w:tr w:rsidR="007D4CD8" w14:paraId="5A1FA997" w14:textId="77777777" w:rsidTr="007737BB">
        <w:tc>
          <w:tcPr>
            <w:tcW w:w="4258" w:type="dxa"/>
          </w:tcPr>
          <w:p w14:paraId="18F71650" w14:textId="77777777" w:rsidR="007D4CD8" w:rsidRDefault="007D4CD8" w:rsidP="007737BB">
            <w:r>
              <w:t>Manager,</w:t>
            </w:r>
          </w:p>
        </w:tc>
      </w:tr>
      <w:tr w:rsidR="007D4CD8" w14:paraId="795F2C70" w14:textId="77777777" w:rsidTr="007737BB">
        <w:tc>
          <w:tcPr>
            <w:tcW w:w="4258" w:type="dxa"/>
          </w:tcPr>
          <w:p w14:paraId="0BB9FE58" w14:textId="77777777" w:rsidR="007D4CD8" w:rsidRDefault="007D4CD8" w:rsidP="007737BB">
            <w:r>
              <w:t>PwC Ireland</w:t>
            </w:r>
          </w:p>
        </w:tc>
      </w:tr>
      <w:tr w:rsidR="007D4CD8" w14:paraId="4433CD28" w14:textId="77777777" w:rsidTr="007737BB">
        <w:tc>
          <w:tcPr>
            <w:tcW w:w="4258" w:type="dxa"/>
          </w:tcPr>
          <w:p w14:paraId="5338C6E9" w14:textId="77777777" w:rsidR="007D4CD8" w:rsidRDefault="007D4CD8" w:rsidP="007737BB">
            <w:r>
              <w:t>peter.j.tamosaitis@pwc.com</w:t>
            </w:r>
          </w:p>
        </w:tc>
      </w:tr>
      <w:tr w:rsidR="007D4CD8" w14:paraId="7DA07D4E" w14:textId="77777777" w:rsidTr="007737BB">
        <w:tc>
          <w:tcPr>
            <w:tcW w:w="4258" w:type="dxa"/>
          </w:tcPr>
          <w:p w14:paraId="125262AF" w14:textId="77777777" w:rsidR="007D4CD8" w:rsidRDefault="007D4CD8" w:rsidP="007737BB">
            <w:r>
              <w:t>017928017</w:t>
            </w:r>
          </w:p>
        </w:tc>
      </w:tr>
    </w:tbl>
    <w:p w14:paraId="10F42036" w14:textId="77777777" w:rsidR="007D4CD8" w:rsidRDefault="007D4CD8" w:rsidP="007D4CD8">
      <w:pPr>
        <w:spacing w:after="0"/>
      </w:pPr>
      <w:r>
        <w:t xml:space="preserve"> </w:t>
      </w:r>
    </w:p>
    <w:p w14:paraId="0084694D" w14:textId="77777777" w:rsidR="007D4CD8" w:rsidRDefault="007D4CD8" w:rsidP="007D4CD8">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7D4CD8" w14:paraId="092B6D59" w14:textId="77777777" w:rsidTr="007737BB">
        <w:tc>
          <w:tcPr>
            <w:tcW w:w="4258" w:type="dxa"/>
          </w:tcPr>
          <w:p w14:paraId="72C84C7E" w14:textId="77777777" w:rsidR="007D4CD8" w:rsidRDefault="007D4CD8" w:rsidP="007737BB">
            <w:r>
              <w:t>David Farrell,</w:t>
            </w:r>
          </w:p>
        </w:tc>
      </w:tr>
      <w:tr w:rsidR="007D4CD8" w14:paraId="652FC063" w14:textId="77777777" w:rsidTr="007737BB">
        <w:tc>
          <w:tcPr>
            <w:tcW w:w="4258" w:type="dxa"/>
          </w:tcPr>
          <w:p w14:paraId="620E99D1" w14:textId="77777777" w:rsidR="007D4CD8" w:rsidRDefault="007D4CD8" w:rsidP="007737BB">
            <w:r>
              <w:t>Manager,</w:t>
            </w:r>
          </w:p>
        </w:tc>
      </w:tr>
      <w:tr w:rsidR="007D4CD8" w14:paraId="087F8951" w14:textId="77777777" w:rsidTr="007737BB">
        <w:tc>
          <w:tcPr>
            <w:tcW w:w="4258" w:type="dxa"/>
          </w:tcPr>
          <w:p w14:paraId="73F49185" w14:textId="77777777" w:rsidR="007D4CD8" w:rsidRDefault="007D4CD8" w:rsidP="007737BB">
            <w:r>
              <w:t>Louis Copeland &amp; Sons, Dundrum</w:t>
            </w:r>
          </w:p>
        </w:tc>
      </w:tr>
      <w:tr w:rsidR="007D4CD8" w14:paraId="2C3B55DF" w14:textId="77777777" w:rsidTr="007737BB">
        <w:tc>
          <w:tcPr>
            <w:tcW w:w="4258" w:type="dxa"/>
          </w:tcPr>
          <w:p w14:paraId="1FC38E6B" w14:textId="77777777" w:rsidR="007D4CD8" w:rsidRDefault="007D4CD8" w:rsidP="007737BB">
            <w:pPr>
              <w:tabs>
                <w:tab w:val="left" w:pos="2873"/>
              </w:tabs>
            </w:pPr>
            <w:r>
              <w:t>davef@louiscopeland.ie</w:t>
            </w:r>
            <w:r>
              <w:tab/>
            </w:r>
          </w:p>
        </w:tc>
      </w:tr>
      <w:tr w:rsidR="007D4CD8" w14:paraId="48885A9D" w14:textId="77777777" w:rsidTr="007737BB">
        <w:tc>
          <w:tcPr>
            <w:tcW w:w="4258" w:type="dxa"/>
          </w:tcPr>
          <w:p w14:paraId="7B5A0BEC" w14:textId="77777777" w:rsidR="007D4CD8" w:rsidRDefault="007D4CD8" w:rsidP="007737BB">
            <w:pPr>
              <w:tabs>
                <w:tab w:val="left" w:pos="2873"/>
              </w:tabs>
            </w:pPr>
            <w:r>
              <w:t>012980000</w:t>
            </w:r>
          </w:p>
        </w:tc>
      </w:tr>
    </w:tbl>
    <w:p w14:paraId="738D665A" w14:textId="77777777" w:rsidR="007D4CD8" w:rsidRDefault="007D4CD8" w:rsidP="001B2D8D">
      <w:pPr>
        <w:spacing w:after="0"/>
        <w:rPr>
          <w:b/>
          <w:u w:val="single"/>
        </w:rPr>
      </w:pPr>
      <w:bookmarkStart w:id="0" w:name="_GoBack"/>
      <w:bookmarkEnd w:id="0"/>
    </w:p>
    <w:sectPr w:rsidR="007D4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41782"/>
    <w:multiLevelType w:val="hybridMultilevel"/>
    <w:tmpl w:val="DB8C4076"/>
    <w:lvl w:ilvl="0" w:tplc="9B442B00">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17"/>
    <w:rsid w:val="00001A1D"/>
    <w:rsid w:val="00023FCA"/>
    <w:rsid w:val="000435F0"/>
    <w:rsid w:val="000837D7"/>
    <w:rsid w:val="000B73E6"/>
    <w:rsid w:val="000E7533"/>
    <w:rsid w:val="00127296"/>
    <w:rsid w:val="00137917"/>
    <w:rsid w:val="001B22C3"/>
    <w:rsid w:val="001B2D8D"/>
    <w:rsid w:val="001C3D90"/>
    <w:rsid w:val="001F3067"/>
    <w:rsid w:val="0020089E"/>
    <w:rsid w:val="00264A7F"/>
    <w:rsid w:val="00266C49"/>
    <w:rsid w:val="00281F76"/>
    <w:rsid w:val="002B79F8"/>
    <w:rsid w:val="002F01ED"/>
    <w:rsid w:val="0035185A"/>
    <w:rsid w:val="003A6483"/>
    <w:rsid w:val="003C378D"/>
    <w:rsid w:val="00412C90"/>
    <w:rsid w:val="0046012F"/>
    <w:rsid w:val="004732FF"/>
    <w:rsid w:val="00494BB4"/>
    <w:rsid w:val="004C3DA5"/>
    <w:rsid w:val="00550E14"/>
    <w:rsid w:val="005A30DF"/>
    <w:rsid w:val="005C202A"/>
    <w:rsid w:val="005C7D93"/>
    <w:rsid w:val="006000B5"/>
    <w:rsid w:val="006267AD"/>
    <w:rsid w:val="007569D5"/>
    <w:rsid w:val="007D4CD8"/>
    <w:rsid w:val="0080160E"/>
    <w:rsid w:val="00824C93"/>
    <w:rsid w:val="008A522E"/>
    <w:rsid w:val="009169A7"/>
    <w:rsid w:val="00A04DEA"/>
    <w:rsid w:val="00A93865"/>
    <w:rsid w:val="00B014E2"/>
    <w:rsid w:val="00B12DDC"/>
    <w:rsid w:val="00B66F43"/>
    <w:rsid w:val="00BA58E2"/>
    <w:rsid w:val="00C14885"/>
    <w:rsid w:val="00CC320E"/>
    <w:rsid w:val="00E162F7"/>
    <w:rsid w:val="00E53994"/>
    <w:rsid w:val="00E5706D"/>
    <w:rsid w:val="00E973F6"/>
    <w:rsid w:val="00F0498D"/>
    <w:rsid w:val="00F4227B"/>
    <w:rsid w:val="00F51906"/>
    <w:rsid w:val="00FF23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F7F7"/>
  <w15:chartTrackingRefBased/>
  <w15:docId w15:val="{B9CA1DE5-5CA1-403B-BA3F-55851983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I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917"/>
    <w:rPr>
      <w:color w:val="0563C1" w:themeColor="hyperlink"/>
      <w:u w:val="single"/>
    </w:rPr>
  </w:style>
  <w:style w:type="table" w:styleId="TableGrid">
    <w:name w:val="Table Grid"/>
    <w:basedOn w:val="TableNormal"/>
    <w:uiPriority w:val="39"/>
    <w:rsid w:val="001379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B2D8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D8D"/>
    <w:rPr>
      <w:rFonts w:asciiTheme="majorHAnsi" w:eastAsiaTheme="majorEastAsia" w:hAnsiTheme="majorHAnsi" w:cstheme="majorBidi"/>
      <w:spacing w:val="-10"/>
      <w:kern w:val="28"/>
      <w:sz w:val="56"/>
      <w:szCs w:val="56"/>
    </w:rPr>
  </w:style>
  <w:style w:type="paragraph" w:customStyle="1" w:styleId="Body">
    <w:name w:val="Body"/>
    <w:basedOn w:val="Normal"/>
    <w:rsid w:val="0046012F"/>
    <w:pPr>
      <w:spacing w:after="140" w:line="290" w:lineRule="auto"/>
      <w:jc w:val="both"/>
    </w:pPr>
    <w:rPr>
      <w:rFonts w:ascii="Arial" w:eastAsia="Times New Roman" w:hAnsi="Arial" w:cs="Times New Roman"/>
      <w:kern w:val="2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oyle8@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39993</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Doyle</dc:creator>
  <cp:keywords/>
  <dc:description/>
  <cp:lastModifiedBy>Kevin Doyle</cp:lastModifiedBy>
  <cp:revision>8</cp:revision>
  <dcterms:created xsi:type="dcterms:W3CDTF">2016-09-14T02:23:00Z</dcterms:created>
  <dcterms:modified xsi:type="dcterms:W3CDTF">2017-10-13T19:12:00Z</dcterms:modified>
</cp:coreProperties>
</file>