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A8" w:rsidRDefault="00151CA8" w:rsidP="00151CA8">
      <w:pPr>
        <w:pBdr>
          <w:bottom w:val="single" w:sz="12" w:space="1" w:color="000000"/>
        </w:pBdr>
        <w:spacing w:after="0"/>
        <w:jc w:val="both"/>
        <w:rPr>
          <w:rFonts w:ascii="Times" w:hAnsi="Times" w:cs="PMingLiU"/>
          <w:color w:val="000000" w:themeColor="text1"/>
          <w:sz w:val="20"/>
          <w:lang w:eastAsia="zh-TW"/>
        </w:rPr>
      </w:pPr>
      <w:r>
        <w:rPr>
          <w:rFonts w:ascii="Times" w:hAnsi="Times" w:cs="PMingLiU"/>
          <w:b/>
          <w:color w:val="000000" w:themeColor="text1"/>
          <w:sz w:val="20"/>
          <w:lang w:eastAsia="zh-TW"/>
        </w:rPr>
        <w:t>EDUCATION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>The University of Hong Kong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ind w:left="-108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2014-2015</w:t>
            </w:r>
          </w:p>
        </w:tc>
      </w:tr>
      <w:tr w:rsidR="00151CA8" w:rsidTr="008736E0">
        <w:tc>
          <w:tcPr>
            <w:tcW w:w="7479" w:type="dxa"/>
            <w:hideMark/>
          </w:tcPr>
          <w:p w:rsidR="00151CA8" w:rsidRPr="00743F0D" w:rsidRDefault="00151CA8" w:rsidP="008736E0">
            <w:pPr>
              <w:spacing w:after="0"/>
              <w:jc w:val="both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Overall Classification:</w:t>
            </w: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 xml:space="preserve"> 2.1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/>
                <w:color w:val="000000" w:themeColor="text1"/>
                <w:sz w:val="20"/>
                <w:lang w:val="en-GB" w:eastAsia="zh-TW"/>
              </w:rPr>
              <w:t xml:space="preserve">Exchange </w:t>
            </w:r>
          </w:p>
        </w:tc>
      </w:tr>
    </w:tbl>
    <w:p w:rsidR="00151CA8" w:rsidRDefault="00151CA8" w:rsidP="00151CA8">
      <w:pPr>
        <w:tabs>
          <w:tab w:val="left" w:pos="1540"/>
        </w:tabs>
        <w:spacing w:after="0"/>
        <w:jc w:val="both"/>
        <w:rPr>
          <w:rFonts w:ascii="SimSun" w:eastAsia="SimSun" w:hAnsi="SimSun" w:cs="SimSun"/>
          <w:color w:val="000000" w:themeColor="text1"/>
          <w:sz w:val="10"/>
          <w:lang w:val="en-US" w:eastAsia="zh-TW"/>
        </w:rPr>
      </w:pPr>
      <w:r>
        <w:rPr>
          <w:rFonts w:ascii="Times" w:hAnsi="Times" w:cs="PMingLiU"/>
          <w:color w:val="000000" w:themeColor="text1"/>
          <w:sz w:val="20"/>
          <w:lang w:eastAsia="zh-TW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eastAsia="PMingLiU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Trinity College, Dublin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2012-2016</w:t>
            </w:r>
          </w:p>
        </w:tc>
      </w:tr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Overall Classification:</w:t>
            </w: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 xml:space="preserve"> 2.1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 xml:space="preserve">Bachelor of Laws </w:t>
            </w:r>
          </w:p>
        </w:tc>
      </w:tr>
    </w:tbl>
    <w:p w:rsidR="00151CA8" w:rsidRDefault="00151CA8" w:rsidP="00151CA8">
      <w:pPr>
        <w:spacing w:after="0"/>
        <w:jc w:val="both"/>
        <w:rPr>
          <w:rFonts w:ascii="Times" w:hAnsi="Times" w:cs="PMingLiU"/>
          <w:color w:val="000000" w:themeColor="text1"/>
          <w:sz w:val="10"/>
          <w:lang w:val="en-US" w:eastAsia="zh-TW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The Institute of Education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2011-2012</w:t>
            </w:r>
          </w:p>
        </w:tc>
      </w:tr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Times New Roman"/>
                <w:sz w:val="20"/>
                <w:lang w:val="en-GB"/>
              </w:rPr>
            </w:pPr>
            <w:r>
              <w:rPr>
                <w:rFonts w:ascii="Times" w:hAnsi="Times"/>
                <w:sz w:val="20"/>
                <w:lang w:val="en-GB"/>
              </w:rPr>
              <w:t>Leaving Certificate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val="en-US" w:eastAsia="zh-TW"/>
              </w:rPr>
            </w:pPr>
          </w:p>
        </w:tc>
      </w:tr>
    </w:tbl>
    <w:p w:rsidR="00151CA8" w:rsidRDefault="00151CA8" w:rsidP="00151CA8">
      <w:pPr>
        <w:spacing w:after="0"/>
        <w:jc w:val="both"/>
        <w:rPr>
          <w:rFonts w:ascii="Times" w:hAnsi="Times" w:cs="PMingLiU"/>
          <w:color w:val="000000" w:themeColor="text1"/>
          <w:sz w:val="10"/>
          <w:lang w:val="en-US" w:eastAsia="zh-TW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>Catholic University School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2006-2011</w:t>
            </w:r>
          </w:p>
        </w:tc>
      </w:tr>
      <w:tr w:rsidR="00151CA8" w:rsidTr="008736E0">
        <w:tc>
          <w:tcPr>
            <w:tcW w:w="9889" w:type="dxa"/>
            <w:gridSpan w:val="2"/>
            <w:hideMark/>
          </w:tcPr>
          <w:p w:rsidR="00151CA8" w:rsidRPr="00743F0D" w:rsidRDefault="00151CA8" w:rsidP="008736E0">
            <w:pPr>
              <w:spacing w:after="0"/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Junior Certificate</w:t>
            </w:r>
          </w:p>
        </w:tc>
      </w:tr>
    </w:tbl>
    <w:p w:rsidR="00151CA8" w:rsidRDefault="00151CA8" w:rsidP="00151CA8">
      <w:pPr>
        <w:pBdr>
          <w:bottom w:val="single" w:sz="12" w:space="1" w:color="000000"/>
        </w:pBdr>
        <w:spacing w:after="0"/>
        <w:jc w:val="both"/>
        <w:rPr>
          <w:rFonts w:ascii="Times" w:hAnsi="Times" w:cs="PMingLiU"/>
          <w:b/>
          <w:color w:val="000000" w:themeColor="text1"/>
          <w:sz w:val="20"/>
          <w:lang w:val="en-US" w:eastAsia="zh-TW"/>
        </w:rPr>
      </w:pPr>
    </w:p>
    <w:p w:rsidR="00151CA8" w:rsidRDefault="00151CA8" w:rsidP="00151CA8">
      <w:pPr>
        <w:pBdr>
          <w:bottom w:val="single" w:sz="12" w:space="1" w:color="000000"/>
        </w:pBdr>
        <w:spacing w:after="0"/>
        <w:jc w:val="both"/>
        <w:rPr>
          <w:rFonts w:ascii="Times" w:hAnsi="Times" w:cs="PMingLiU"/>
          <w:color w:val="000000" w:themeColor="text1"/>
          <w:sz w:val="20"/>
          <w:lang w:eastAsia="zh-TW"/>
        </w:rPr>
      </w:pPr>
      <w:r>
        <w:rPr>
          <w:rFonts w:ascii="Times" w:hAnsi="Times" w:cs="PMingLiU"/>
          <w:b/>
          <w:color w:val="000000" w:themeColor="text1"/>
          <w:sz w:val="20"/>
          <w:lang w:eastAsia="zh-TW"/>
        </w:rPr>
        <w:t>WORK EXPERIENCE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 xml:space="preserve">A&amp;L Goodbody  </w:t>
            </w:r>
            <w:r>
              <w:rPr>
                <w:rFonts w:ascii="Times" w:hAnsi="Times"/>
                <w:color w:val="000000" w:themeColor="text1"/>
                <w:sz w:val="20"/>
                <w:lang w:val="en-GB" w:eastAsia="zh-TW"/>
              </w:rPr>
              <w:t>Summer Intern (Financial Markets - Banking)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tabs>
                <w:tab w:val="center" w:pos="1097"/>
                <w:tab w:val="right" w:pos="2194"/>
              </w:tabs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 xml:space="preserve">Aug/Sep 2015 </w:t>
            </w:r>
          </w:p>
        </w:tc>
      </w:tr>
    </w:tbl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 w:rsidRPr="00743F0D"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Researching the law on financial assistance to group companies for a foreign client wishing to establish in Ireland.</w:t>
      </w:r>
    </w:p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 w:rsidRPr="00743F0D"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Writing a first draft memo for my senior associate to a foreign motor finance client setting up here.</w:t>
      </w:r>
    </w:p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 w:rsidRPr="00743F0D"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Compiling director’s certificates for a major international pharmaceutical company’s bond financing.</w:t>
      </w:r>
    </w:p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 w:rsidRPr="00743F0D"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Completing and filing CRO forms for incorporation and conversion in accordance with the Companies Act 2014.</w:t>
      </w:r>
    </w:p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 w:rsidRPr="00743F0D"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Trips to the CRO and DFA to file and have documents apostilled.</w:t>
      </w:r>
    </w:p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 w:rsidRPr="00743F0D"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Researching defamation law for an associate.</w:t>
      </w:r>
    </w:p>
    <w:p w:rsidR="00151CA8" w:rsidRPr="00743F0D" w:rsidRDefault="00151CA8" w:rsidP="00151CA8">
      <w:pPr>
        <w:numPr>
          <w:ilvl w:val="0"/>
          <w:numId w:val="4"/>
        </w:numPr>
        <w:spacing w:after="0"/>
        <w:jc w:val="both"/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</w:pPr>
      <w:r>
        <w:rPr>
          <w:rFonts w:ascii="Times" w:hAnsi="Times" w:cs="PMingLiU"/>
          <w:color w:val="000000" w:themeColor="text1"/>
          <w:sz w:val="20"/>
          <w:szCs w:val="20"/>
          <w:lang w:val="en-GB" w:eastAsia="zh-TW"/>
        </w:rPr>
        <w:t>Completing internship projects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Pr="004B6800" w:rsidRDefault="00151CA8" w:rsidP="008736E0">
            <w:pPr>
              <w:spacing w:after="0"/>
              <w:jc w:val="both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 xml:space="preserve">Trinity College Library </w:t>
            </w: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 xml:space="preserve">Student </w:t>
            </w:r>
            <w:proofErr w:type="spellStart"/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Shelver</w:t>
            </w:r>
            <w:proofErr w:type="spellEnd"/>
          </w:p>
        </w:tc>
        <w:tc>
          <w:tcPr>
            <w:tcW w:w="2410" w:type="dxa"/>
            <w:hideMark/>
          </w:tcPr>
          <w:p w:rsidR="00151CA8" w:rsidRDefault="00151CA8" w:rsidP="008736E0">
            <w:pPr>
              <w:tabs>
                <w:tab w:val="center" w:pos="1097"/>
                <w:tab w:val="right" w:pos="2194"/>
              </w:tabs>
              <w:spacing w:after="0"/>
              <w:ind w:right="400"/>
              <w:jc w:val="center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 xml:space="preserve">Sep 2012- Aug 2014 </w:t>
            </w:r>
          </w:p>
        </w:tc>
      </w:tr>
    </w:tbl>
    <w:p w:rsidR="00151CA8" w:rsidRPr="004B6800" w:rsidRDefault="00151CA8" w:rsidP="00151CA8">
      <w:pPr>
        <w:pStyle w:val="ListParagraph"/>
        <w:spacing w:after="0"/>
        <w:ind w:left="360"/>
        <w:jc w:val="both"/>
        <w:rPr>
          <w:rFonts w:ascii="Times" w:hAnsi="Times"/>
          <w:color w:val="000000" w:themeColor="text1"/>
          <w:sz w:val="20"/>
          <w:lang w:val="en-GB" w:eastAsia="zh-TW"/>
        </w:rPr>
      </w:pPr>
      <w:r>
        <w:rPr>
          <w:rFonts w:ascii="Times" w:hAnsi="Times"/>
          <w:color w:val="000000" w:themeColor="text1"/>
          <w:sz w:val="20"/>
          <w:lang w:val="en-GB" w:eastAsia="zh-TW"/>
        </w:rPr>
        <w:t>-</w:t>
      </w:r>
      <w:r w:rsidRPr="004B6800">
        <w:rPr>
          <w:rFonts w:ascii="Times" w:hAnsi="Times"/>
          <w:color w:val="000000" w:themeColor="text1"/>
          <w:sz w:val="20"/>
          <w:lang w:val="en-GB" w:eastAsia="zh-TW"/>
        </w:rPr>
        <w:t xml:space="preserve">Overall responsibility for the law library, </w:t>
      </w:r>
      <w:proofErr w:type="spellStart"/>
      <w:r w:rsidRPr="004B6800">
        <w:rPr>
          <w:rFonts w:ascii="Times" w:hAnsi="Times"/>
          <w:color w:val="000000" w:themeColor="text1"/>
          <w:sz w:val="20"/>
          <w:lang w:val="en-GB" w:eastAsia="zh-TW"/>
        </w:rPr>
        <w:t>reshelving</w:t>
      </w:r>
      <w:proofErr w:type="spellEnd"/>
      <w:r w:rsidRPr="004B6800">
        <w:rPr>
          <w:rFonts w:ascii="Times" w:hAnsi="Times"/>
          <w:color w:val="000000" w:themeColor="text1"/>
          <w:sz w:val="20"/>
          <w:lang w:val="en-GB" w:eastAsia="zh-TW"/>
        </w:rPr>
        <w:t xml:space="preserve"> books and locating missing volumes before opening every morning.</w:t>
      </w:r>
    </w:p>
    <w:p w:rsidR="00151CA8" w:rsidRPr="004B6800" w:rsidRDefault="00151CA8" w:rsidP="00151CA8">
      <w:pPr>
        <w:pStyle w:val="ListParagraph"/>
        <w:spacing w:after="0"/>
        <w:ind w:left="360"/>
        <w:jc w:val="both"/>
        <w:rPr>
          <w:rFonts w:ascii="Times" w:hAnsi="Times"/>
          <w:color w:val="000000" w:themeColor="text1"/>
          <w:sz w:val="20"/>
          <w:lang w:val="en-GB" w:eastAsia="zh-TW"/>
        </w:rPr>
      </w:pPr>
      <w:r>
        <w:rPr>
          <w:rFonts w:ascii="Times" w:hAnsi="Times"/>
          <w:color w:val="000000" w:themeColor="text1"/>
          <w:sz w:val="20"/>
          <w:lang w:val="en-GB" w:eastAsia="zh-TW"/>
        </w:rPr>
        <w:t>-</w:t>
      </w:r>
      <w:r w:rsidRPr="004B6800">
        <w:rPr>
          <w:rFonts w:ascii="Times" w:hAnsi="Times"/>
          <w:color w:val="000000" w:themeColor="text1"/>
          <w:sz w:val="20"/>
          <w:lang w:val="en-GB" w:eastAsia="zh-TW"/>
        </w:rPr>
        <w:t>Using my extensive knowledge of the library in assisting students find books</w:t>
      </w:r>
    </w:p>
    <w:p w:rsidR="00151CA8" w:rsidRPr="004B6800" w:rsidRDefault="00151CA8" w:rsidP="00151CA8">
      <w:pPr>
        <w:pStyle w:val="ListParagraph"/>
        <w:spacing w:after="0"/>
        <w:ind w:left="360"/>
        <w:jc w:val="both"/>
        <w:rPr>
          <w:rFonts w:ascii="Times" w:hAnsi="Times"/>
          <w:color w:val="000000" w:themeColor="text1"/>
          <w:sz w:val="20"/>
          <w:lang w:val="en-GB" w:eastAsia="zh-TW"/>
        </w:rPr>
      </w:pPr>
      <w:r>
        <w:rPr>
          <w:rFonts w:ascii="Times" w:hAnsi="Times"/>
          <w:color w:val="000000" w:themeColor="text1"/>
          <w:sz w:val="20"/>
          <w:lang w:val="en-GB" w:eastAsia="zh-TW"/>
        </w:rPr>
        <w:t>-</w:t>
      </w:r>
      <w:r w:rsidRPr="004B6800">
        <w:rPr>
          <w:rFonts w:ascii="Times" w:hAnsi="Times"/>
          <w:color w:val="000000" w:themeColor="text1"/>
          <w:sz w:val="20"/>
          <w:lang w:val="en-GB" w:eastAsia="zh-TW"/>
        </w:rPr>
        <w:t>Worked full time during the summer on projects, updating inventory and book retrieval</w:t>
      </w:r>
    </w:p>
    <w:p w:rsidR="00151CA8" w:rsidRPr="004B6800" w:rsidRDefault="00151CA8" w:rsidP="00151CA8">
      <w:pPr>
        <w:pStyle w:val="ListParagraph"/>
        <w:spacing w:after="0"/>
        <w:ind w:left="360"/>
        <w:jc w:val="both"/>
        <w:rPr>
          <w:rFonts w:ascii="Times" w:hAnsi="Times" w:cs="PMingLiU"/>
          <w:color w:val="000000" w:themeColor="text1"/>
          <w:sz w:val="10"/>
          <w:lang w:val="en-GB" w:eastAsia="zh-TW"/>
        </w:rPr>
      </w:pPr>
      <w:bookmarkStart w:id="0" w:name="_GoBack"/>
      <w:bookmarkEnd w:id="0"/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Pr="004B6800" w:rsidRDefault="00151CA8" w:rsidP="008736E0">
            <w:pPr>
              <w:tabs>
                <w:tab w:val="left" w:pos="2267"/>
              </w:tabs>
              <w:spacing w:after="0"/>
              <w:jc w:val="both"/>
              <w:rPr>
                <w:rFonts w:ascii="Times" w:hAnsi="Times" w:cs="PMingLiU"/>
                <w:b/>
                <w:i/>
                <w:color w:val="000000" w:themeColor="text1"/>
                <w:sz w:val="20"/>
                <w:lang w:val="en-GB" w:eastAsia="zh-TW"/>
              </w:rPr>
            </w:pPr>
            <w:r w:rsidRPr="004B6800">
              <w:rPr>
                <w:rFonts w:ascii="Times" w:hAnsi="Times" w:cs="PMingLiU"/>
                <w:b/>
                <w:color w:val="000000" w:themeColor="text1"/>
                <w:sz w:val="20"/>
                <w:lang w:val="en-GB" w:eastAsia="zh-TW"/>
              </w:rPr>
              <w:t>PH Sound Systems, Grattan Business, Dublin</w:t>
            </w:r>
            <w:r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  <w:tab/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 w:rsidRPr="004B6800">
              <w:rPr>
                <w:rFonts w:ascii="Times" w:hAnsi="Times" w:cs="PMingLiU"/>
                <w:b/>
                <w:i/>
                <w:color w:val="000000" w:themeColor="text1"/>
                <w:sz w:val="20"/>
                <w:lang w:val="en-GB" w:eastAsia="zh-TW"/>
              </w:rPr>
              <w:t>(2010-2013)</w:t>
            </w:r>
          </w:p>
        </w:tc>
      </w:tr>
    </w:tbl>
    <w:p w:rsidR="00151CA8" w:rsidRPr="004B6800" w:rsidRDefault="00151CA8" w:rsidP="00151CA8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000000" w:themeColor="text1"/>
          <w:sz w:val="20"/>
          <w:lang w:val="en-GB" w:eastAsia="zh-TW"/>
        </w:rPr>
      </w:pPr>
      <w:r w:rsidRPr="004B6800">
        <w:rPr>
          <w:rFonts w:ascii="Times" w:hAnsi="Times"/>
          <w:color w:val="000000" w:themeColor="text1"/>
          <w:sz w:val="20"/>
          <w:lang w:val="en-GB" w:eastAsia="zh-TW"/>
        </w:rPr>
        <w:t>Installation and operation of indoor and outdoor sound systems, sometimes working shifts as long as 16 hours.</w:t>
      </w:r>
    </w:p>
    <w:p w:rsidR="00151CA8" w:rsidRPr="004B6800" w:rsidRDefault="00151CA8" w:rsidP="00151CA8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000000" w:themeColor="text1"/>
          <w:sz w:val="20"/>
          <w:lang w:val="en-GB" w:eastAsia="zh-TW"/>
        </w:rPr>
      </w:pPr>
      <w:r w:rsidRPr="004B6800">
        <w:rPr>
          <w:rFonts w:ascii="Times" w:hAnsi="Times"/>
          <w:color w:val="000000" w:themeColor="text1"/>
          <w:sz w:val="20"/>
          <w:lang w:val="en-GB" w:eastAsia="zh-TW"/>
        </w:rPr>
        <w:t>Assisting customers with queries and answering the phones.</w:t>
      </w:r>
    </w:p>
    <w:p w:rsidR="00151CA8" w:rsidRPr="004B6800" w:rsidRDefault="00151CA8" w:rsidP="00151CA8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000000" w:themeColor="text1"/>
          <w:sz w:val="20"/>
          <w:lang w:val="en-GB" w:eastAsia="zh-TW"/>
        </w:rPr>
      </w:pPr>
      <w:r w:rsidRPr="004B6800">
        <w:rPr>
          <w:rFonts w:ascii="Times" w:hAnsi="Times"/>
          <w:color w:val="000000" w:themeColor="text1"/>
          <w:sz w:val="20"/>
          <w:lang w:val="en-GB" w:eastAsia="zh-TW"/>
        </w:rPr>
        <w:t>Tailoring audio-visual solutions to clients’ unique requirements.</w:t>
      </w:r>
    </w:p>
    <w:p w:rsidR="00151CA8" w:rsidRPr="004B6800" w:rsidRDefault="00151CA8" w:rsidP="00151CA8">
      <w:pPr>
        <w:spacing w:after="0"/>
        <w:jc w:val="both"/>
        <w:rPr>
          <w:rFonts w:ascii="Times" w:hAnsi="Times" w:cs="PMingLiU"/>
          <w:color w:val="000000" w:themeColor="text1"/>
          <w:sz w:val="20"/>
          <w:lang w:eastAsia="zh-TW"/>
        </w:rPr>
      </w:pPr>
    </w:p>
    <w:p w:rsidR="00151CA8" w:rsidRDefault="00151CA8" w:rsidP="00151CA8">
      <w:pPr>
        <w:pBdr>
          <w:bottom w:val="single" w:sz="12" w:space="1" w:color="000000"/>
        </w:pBdr>
        <w:spacing w:after="0"/>
        <w:jc w:val="both"/>
        <w:rPr>
          <w:rFonts w:ascii="Times" w:hAnsi="Times" w:cs="PMingLiU"/>
          <w:b/>
          <w:color w:val="000000" w:themeColor="text1"/>
          <w:sz w:val="20"/>
          <w:lang w:eastAsia="zh-TW"/>
        </w:rPr>
      </w:pPr>
      <w:r>
        <w:rPr>
          <w:rFonts w:ascii="Times" w:hAnsi="Times" w:cs="PMingLiU"/>
          <w:b/>
          <w:color w:val="000000" w:themeColor="text1"/>
          <w:sz w:val="20"/>
          <w:lang w:eastAsia="zh-TW"/>
        </w:rPr>
        <w:t xml:space="preserve">ACADEMIC AWARDS AND SCHOLARSHIPS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Trinity College Provost’s Asian Travel Bursary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tabs>
                <w:tab w:val="left" w:pos="720"/>
                <w:tab w:val="right" w:pos="2761"/>
              </w:tabs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2014</w:t>
            </w:r>
          </w:p>
        </w:tc>
      </w:tr>
    </w:tbl>
    <w:p w:rsidR="00151CA8" w:rsidRDefault="00151CA8" w:rsidP="00151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" w:hAnsi="Times" w:cs="Times New Roman"/>
          <w:sz w:val="20"/>
          <w:lang w:val="en-GB"/>
        </w:rPr>
      </w:pPr>
      <w:r>
        <w:rPr>
          <w:rFonts w:ascii="Times" w:hAnsi="Times" w:cs="Times"/>
          <w:sz w:val="20"/>
        </w:rPr>
        <w:t>€</w:t>
      </w:r>
      <w:r>
        <w:rPr>
          <w:rFonts w:ascii="Times" w:hAnsi="Times"/>
          <w:sz w:val="20"/>
        </w:rPr>
        <w:t>1000 for successfully attaining a place on exchange in Asia</w:t>
      </w:r>
    </w:p>
    <w:p w:rsidR="00151CA8" w:rsidRDefault="00151CA8" w:rsidP="00151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" w:hAnsi="Times"/>
          <w:sz w:val="10"/>
          <w:lang w:val="en-GB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val="en-US" w:eastAsia="zh-TW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Japanese Government’s MIRAI Programme Scholarship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tabs>
                <w:tab w:val="left" w:pos="720"/>
                <w:tab w:val="right" w:pos="2761"/>
              </w:tabs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2015</w:t>
            </w:r>
          </w:p>
        </w:tc>
      </w:tr>
    </w:tbl>
    <w:p w:rsidR="00151CA8" w:rsidRDefault="00151CA8" w:rsidP="00151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" w:hAnsi="Times" w:cs="Times New Roman"/>
          <w:sz w:val="20"/>
          <w:lang w:val="en-GB"/>
        </w:rPr>
      </w:pPr>
      <w:r>
        <w:rPr>
          <w:rFonts w:ascii="Times" w:hAnsi="Times"/>
          <w:sz w:val="20"/>
          <w:lang w:val="en-GB"/>
        </w:rPr>
        <w:t>Expenses-paid scholarship to take part in week-long intercultural exchange programme</w:t>
      </w:r>
    </w:p>
    <w:p w:rsidR="00151CA8" w:rsidRDefault="00151CA8" w:rsidP="00151CA8">
      <w:pPr>
        <w:spacing w:after="0"/>
        <w:jc w:val="both"/>
        <w:rPr>
          <w:rFonts w:ascii="Times" w:hAnsi="Times"/>
          <w:sz w:val="20"/>
          <w:lang w:val="en-GB"/>
        </w:rPr>
      </w:pPr>
    </w:p>
    <w:p w:rsidR="00151CA8" w:rsidRDefault="00151CA8" w:rsidP="00151CA8">
      <w:pPr>
        <w:pBdr>
          <w:bottom w:val="single" w:sz="12" w:space="0" w:color="auto"/>
        </w:pBdr>
        <w:tabs>
          <w:tab w:val="right" w:pos="9632"/>
        </w:tabs>
        <w:spacing w:after="0"/>
        <w:jc w:val="both"/>
        <w:rPr>
          <w:rFonts w:ascii="Times" w:hAnsi="Times" w:cs="PMingLiU"/>
          <w:b/>
          <w:color w:val="000000" w:themeColor="text1"/>
          <w:sz w:val="20"/>
          <w:lang w:eastAsia="zh-TW"/>
        </w:rPr>
      </w:pPr>
      <w:r>
        <w:rPr>
          <w:rFonts w:ascii="Times" w:hAnsi="Times" w:cs="PMingLiU"/>
          <w:b/>
          <w:color w:val="000000" w:themeColor="text1"/>
          <w:sz w:val="20"/>
          <w:lang w:eastAsia="zh-TW"/>
        </w:rPr>
        <w:t xml:space="preserve">POSITIONS OF RESPONSIBILITY </w:t>
      </w:r>
      <w:r>
        <w:rPr>
          <w:rFonts w:ascii="Times" w:hAnsi="Times" w:cs="PMingLiU"/>
          <w:b/>
          <w:color w:val="000000" w:themeColor="text1"/>
          <w:sz w:val="20"/>
          <w:lang w:eastAsia="zh-TW"/>
        </w:rPr>
        <w:tab/>
      </w:r>
    </w:p>
    <w:p w:rsidR="00151CA8" w:rsidRDefault="00151CA8" w:rsidP="00151CA8">
      <w:pPr>
        <w:pStyle w:val="ListParagraph"/>
        <w:spacing w:after="0"/>
        <w:ind w:left="360"/>
        <w:jc w:val="both"/>
        <w:rPr>
          <w:rFonts w:ascii="Times" w:hAnsi="Times" w:cs="Times New Roman"/>
          <w:sz w:val="10"/>
          <w:lang w:val="en-GB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 w:cs="PMingLiU"/>
                <w:b/>
                <w:color w:val="000000" w:themeColor="text1"/>
                <w:sz w:val="20"/>
                <w:lang w:val="en-US" w:eastAsia="zh-TW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Class Representative,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tabs>
                <w:tab w:val="center" w:pos="1380"/>
                <w:tab w:val="right" w:pos="2761"/>
              </w:tabs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>2013</w:t>
            </w:r>
          </w:p>
        </w:tc>
      </w:tr>
    </w:tbl>
    <w:p w:rsidR="00151CA8" w:rsidRDefault="00151CA8" w:rsidP="00151C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" w:hAnsi="Times" w:cs="PMingLiU"/>
          <w:color w:val="000000" w:themeColor="text1"/>
          <w:sz w:val="20"/>
          <w:lang w:val="en-US" w:eastAsia="zh-TW"/>
        </w:rPr>
      </w:pPr>
      <w:r>
        <w:rPr>
          <w:rFonts w:ascii="Times" w:hAnsi="Times" w:cs="PMingLiU"/>
          <w:color w:val="000000" w:themeColor="text1"/>
          <w:sz w:val="20"/>
          <w:lang w:eastAsia="zh-TW"/>
        </w:rPr>
        <w:t xml:space="preserve">Liaise with Law Department Head and professors to negotiate on behalf of students and broker compromise </w:t>
      </w:r>
    </w:p>
    <w:p w:rsidR="00151CA8" w:rsidRDefault="00151CA8" w:rsidP="00151CA8">
      <w:pPr>
        <w:spacing w:after="0"/>
        <w:jc w:val="both"/>
        <w:rPr>
          <w:rFonts w:ascii="Times" w:hAnsi="Times" w:cs="PMingLiU"/>
          <w:color w:val="000000" w:themeColor="text1"/>
          <w:sz w:val="10"/>
          <w:lang w:eastAsia="zh-TW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7479"/>
        <w:gridCol w:w="2410"/>
      </w:tblGrid>
      <w:tr w:rsidR="00151CA8" w:rsidTr="008736E0">
        <w:tc>
          <w:tcPr>
            <w:tcW w:w="7479" w:type="dxa"/>
            <w:hideMark/>
          </w:tcPr>
          <w:p w:rsidR="00151CA8" w:rsidRDefault="00151CA8" w:rsidP="008736E0">
            <w:pPr>
              <w:spacing w:after="0"/>
              <w:jc w:val="both"/>
              <w:rPr>
                <w:rFonts w:ascii="Times" w:hAnsi="Times"/>
                <w:b/>
                <w:sz w:val="20"/>
                <w:lang w:val="en-GB" w:eastAsia="zh-TW"/>
              </w:rPr>
            </w:pPr>
            <w:r>
              <w:rPr>
                <w:rFonts w:ascii="Times" w:hAnsi="Times"/>
                <w:b/>
                <w:sz w:val="20"/>
                <w:lang w:val="en-GB" w:eastAsia="zh-TW"/>
              </w:rPr>
              <w:t>Editor, The Eagle: Trinity College Law Gazette</w:t>
            </w:r>
          </w:p>
          <w:p w:rsidR="00151CA8" w:rsidRPr="004B6800" w:rsidRDefault="00151CA8" w:rsidP="008736E0">
            <w:pPr>
              <w:spacing w:after="0"/>
              <w:jc w:val="both"/>
              <w:rPr>
                <w:rFonts w:ascii="Times" w:hAnsi="Times" w:cs="Times New Roman"/>
                <w:sz w:val="20"/>
                <w:lang w:val="en-GB"/>
              </w:rPr>
            </w:pPr>
            <w:r w:rsidRPr="004B6800">
              <w:rPr>
                <w:rFonts w:ascii="Times" w:hAnsi="Times"/>
                <w:sz w:val="20"/>
                <w:lang w:val="en-GB" w:eastAsia="zh-TW"/>
              </w:rPr>
              <w:t>Selecting Articles</w:t>
            </w:r>
          </w:p>
        </w:tc>
        <w:tc>
          <w:tcPr>
            <w:tcW w:w="2410" w:type="dxa"/>
            <w:hideMark/>
          </w:tcPr>
          <w:p w:rsidR="00151CA8" w:rsidRDefault="00151CA8" w:rsidP="008736E0">
            <w:pPr>
              <w:tabs>
                <w:tab w:val="center" w:pos="1380"/>
                <w:tab w:val="right" w:pos="2761"/>
              </w:tabs>
              <w:spacing w:after="0"/>
              <w:jc w:val="right"/>
              <w:rPr>
                <w:rFonts w:ascii="Times" w:hAnsi="Times" w:cs="PMingLiU"/>
                <w:color w:val="000000" w:themeColor="text1"/>
                <w:sz w:val="20"/>
                <w:lang w:val="en-US" w:eastAsia="zh-TW"/>
              </w:rPr>
            </w:pPr>
            <w:r>
              <w:rPr>
                <w:rFonts w:ascii="Times" w:hAnsi="Times" w:cs="PMingLiU"/>
                <w:color w:val="000000" w:themeColor="text1"/>
                <w:sz w:val="20"/>
                <w:lang w:eastAsia="zh-TW"/>
              </w:rPr>
              <w:t xml:space="preserve"> 2015</w:t>
            </w:r>
          </w:p>
        </w:tc>
      </w:tr>
    </w:tbl>
    <w:p w:rsidR="00151CA8" w:rsidRDefault="00151CA8" w:rsidP="00151CA8">
      <w:pPr>
        <w:pStyle w:val="ListParagraph"/>
        <w:spacing w:after="0"/>
        <w:ind w:left="360"/>
        <w:jc w:val="both"/>
        <w:rPr>
          <w:rFonts w:ascii="Times" w:hAnsi="Times" w:cs="PMingLiU"/>
          <w:color w:val="000000" w:themeColor="text1"/>
          <w:sz w:val="20"/>
          <w:lang w:val="en-US" w:eastAsia="zh-TW"/>
        </w:rPr>
      </w:pPr>
    </w:p>
    <w:p w:rsidR="00151CA8" w:rsidRDefault="00151CA8" w:rsidP="00151CA8">
      <w:pPr>
        <w:pBdr>
          <w:bottom w:val="single" w:sz="12" w:space="1" w:color="000000"/>
        </w:pBdr>
        <w:spacing w:after="0"/>
        <w:jc w:val="both"/>
        <w:rPr>
          <w:rFonts w:ascii="Times" w:hAnsi="Times" w:cs="PMingLiU"/>
          <w:b/>
          <w:color w:val="000000" w:themeColor="text1"/>
          <w:sz w:val="20"/>
          <w:lang w:eastAsia="zh-TW"/>
        </w:rPr>
      </w:pPr>
      <w:r>
        <w:rPr>
          <w:rFonts w:ascii="Times" w:hAnsi="Times" w:cs="PMingLiU"/>
          <w:b/>
          <w:color w:val="000000" w:themeColor="text1"/>
          <w:sz w:val="20"/>
          <w:lang w:eastAsia="zh-TW"/>
        </w:rPr>
        <w:t>LANGUAGES</w:t>
      </w:r>
      <w:r>
        <w:rPr>
          <w:rFonts w:ascii="Times" w:hAnsi="Times" w:cs="PMingLiU"/>
          <w:b/>
          <w:color w:val="000000" w:themeColor="text1"/>
          <w:sz w:val="20"/>
          <w:lang w:eastAsia="zh-TW"/>
        </w:rPr>
        <w:tab/>
      </w:r>
      <w:r>
        <w:rPr>
          <w:rFonts w:ascii="Times" w:hAnsi="Times" w:cs="PMingLiU"/>
          <w:color w:val="000000" w:themeColor="text1"/>
          <w:sz w:val="20"/>
          <w:lang w:eastAsia="zh-TW"/>
        </w:rPr>
        <w:t>English– native; Spanish- Intermediate; Mandarin – basic</w:t>
      </w:r>
    </w:p>
    <w:p w:rsidR="00151CA8" w:rsidRDefault="00151CA8" w:rsidP="00151CA8">
      <w:pPr>
        <w:spacing w:after="0"/>
        <w:rPr>
          <w:b/>
          <w:sz w:val="20"/>
          <w:szCs w:val="20"/>
        </w:rPr>
      </w:pPr>
    </w:p>
    <w:p w:rsidR="00151CA8" w:rsidRPr="00743F0D" w:rsidRDefault="00151CA8" w:rsidP="00151CA8">
      <w:pPr>
        <w:rPr>
          <w:rFonts w:ascii="Cambria" w:eastAsiaTheme="majorEastAsia" w:hAnsi="Cambria" w:cstheme="majorBidi"/>
          <w:color w:val="2E74B5" w:themeColor="accent1" w:themeShade="BF"/>
          <w:sz w:val="56"/>
          <w:szCs w:val="28"/>
        </w:rPr>
      </w:pPr>
      <w:r>
        <w:rPr>
          <w:rFonts w:ascii="Cambria" w:hAnsi="Cambria"/>
          <w:b/>
          <w:sz w:val="48"/>
        </w:rPr>
        <w:lastRenderedPageBreak/>
        <w:t>Education</w:t>
      </w:r>
    </w:p>
    <w:p w:rsidR="00151CA8" w:rsidRPr="00BA1CB7" w:rsidRDefault="00151CA8" w:rsidP="00151CA8">
      <w:pPr>
        <w:rPr>
          <w:b/>
        </w:rPr>
      </w:pPr>
      <w:r w:rsidRPr="00BA1CB7">
        <w:rPr>
          <w:b/>
        </w:rPr>
        <w:t xml:space="preserve">Leaving </w:t>
      </w:r>
      <w:r>
        <w:rPr>
          <w:b/>
        </w:rPr>
        <w:t>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3073"/>
      </w:tblGrid>
      <w:tr w:rsidR="00151CA8" w:rsidRPr="00BA1CB7" w:rsidTr="008736E0">
        <w:trPr>
          <w:trHeight w:val="533"/>
        </w:trPr>
        <w:tc>
          <w:tcPr>
            <w:tcW w:w="3073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Total Points</w:t>
            </w:r>
          </w:p>
        </w:tc>
        <w:tc>
          <w:tcPr>
            <w:tcW w:w="3073" w:type="dxa"/>
          </w:tcPr>
          <w:p w:rsidR="00151CA8" w:rsidRPr="00BA1CB7" w:rsidRDefault="00151CA8" w:rsidP="008736E0">
            <w:r w:rsidRPr="00BA1CB7">
              <w:t>555</w:t>
            </w:r>
          </w:p>
        </w:tc>
      </w:tr>
      <w:tr w:rsidR="00151CA8" w:rsidRPr="00BA1CB7" w:rsidTr="008736E0">
        <w:trPr>
          <w:trHeight w:val="533"/>
        </w:trPr>
        <w:tc>
          <w:tcPr>
            <w:tcW w:w="3073" w:type="dxa"/>
          </w:tcPr>
          <w:p w:rsidR="00151CA8" w:rsidRPr="00332996" w:rsidRDefault="00151CA8" w:rsidP="008736E0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073" w:type="dxa"/>
          </w:tcPr>
          <w:p w:rsidR="00151CA8" w:rsidRPr="00BA1CB7" w:rsidRDefault="00151CA8" w:rsidP="008736E0">
            <w:r>
              <w:t>2012</w:t>
            </w:r>
          </w:p>
        </w:tc>
      </w:tr>
    </w:tbl>
    <w:p w:rsidR="00151CA8" w:rsidRPr="00BA1CB7" w:rsidRDefault="00151CA8" w:rsidP="00151C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</w:tblGrid>
      <w:tr w:rsidR="00151CA8" w:rsidRPr="00BA1CB7" w:rsidTr="008736E0">
        <w:trPr>
          <w:trHeight w:val="285"/>
        </w:trPr>
        <w:tc>
          <w:tcPr>
            <w:tcW w:w="3081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Subject</w:t>
            </w:r>
          </w:p>
        </w:tc>
        <w:tc>
          <w:tcPr>
            <w:tcW w:w="3081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Grade</w:t>
            </w:r>
          </w:p>
        </w:tc>
      </w:tr>
      <w:tr w:rsidR="00151CA8" w:rsidRPr="00BA1CB7" w:rsidTr="008736E0">
        <w:trPr>
          <w:trHeight w:val="269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Geography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A1</w:t>
            </w:r>
          </w:p>
        </w:tc>
      </w:tr>
      <w:tr w:rsidR="00151CA8" w:rsidRPr="00BA1CB7" w:rsidTr="008736E0">
        <w:trPr>
          <w:trHeight w:val="285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Spanish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A1</w:t>
            </w:r>
          </w:p>
        </w:tc>
      </w:tr>
      <w:tr w:rsidR="00151CA8" w:rsidRPr="00BA1CB7" w:rsidTr="008736E0">
        <w:trPr>
          <w:trHeight w:val="285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Business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A2</w:t>
            </w:r>
          </w:p>
        </w:tc>
      </w:tr>
      <w:tr w:rsidR="00151CA8" w:rsidRPr="00BA1CB7" w:rsidTr="008736E0">
        <w:trPr>
          <w:trHeight w:val="269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Economics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A2</w:t>
            </w:r>
          </w:p>
        </w:tc>
      </w:tr>
      <w:tr w:rsidR="00151CA8" w:rsidRPr="00BA1CB7" w:rsidTr="008736E0">
        <w:trPr>
          <w:trHeight w:val="285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English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A2</w:t>
            </w:r>
          </w:p>
        </w:tc>
      </w:tr>
      <w:tr w:rsidR="00151CA8" w:rsidRPr="00BA1CB7" w:rsidTr="008736E0">
        <w:trPr>
          <w:trHeight w:val="269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Music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B1</w:t>
            </w:r>
          </w:p>
        </w:tc>
      </w:tr>
      <w:tr w:rsidR="00151CA8" w:rsidRPr="00BA1CB7" w:rsidTr="008736E0">
        <w:trPr>
          <w:trHeight w:val="285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Maths (ordinary)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B1</w:t>
            </w:r>
          </w:p>
        </w:tc>
      </w:tr>
      <w:tr w:rsidR="00151CA8" w:rsidRPr="00BA1CB7" w:rsidTr="008736E0">
        <w:trPr>
          <w:trHeight w:val="285"/>
        </w:trPr>
        <w:tc>
          <w:tcPr>
            <w:tcW w:w="3081" w:type="dxa"/>
          </w:tcPr>
          <w:p w:rsidR="00151CA8" w:rsidRPr="00BA1CB7" w:rsidRDefault="00151CA8" w:rsidP="008736E0">
            <w:r w:rsidRPr="00BA1CB7">
              <w:t>Irish (ordinary)</w:t>
            </w:r>
          </w:p>
        </w:tc>
        <w:tc>
          <w:tcPr>
            <w:tcW w:w="3081" w:type="dxa"/>
          </w:tcPr>
          <w:p w:rsidR="00151CA8" w:rsidRPr="00BA1CB7" w:rsidRDefault="00151CA8" w:rsidP="008736E0">
            <w:r w:rsidRPr="00BA1CB7">
              <w:t>B1</w:t>
            </w:r>
          </w:p>
        </w:tc>
      </w:tr>
    </w:tbl>
    <w:p w:rsidR="00151CA8" w:rsidRPr="00BA1CB7" w:rsidRDefault="00151CA8" w:rsidP="00151C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088"/>
      </w:tblGrid>
      <w:tr w:rsidR="00151CA8" w:rsidRPr="00BA1CB7" w:rsidTr="008736E0">
        <w:trPr>
          <w:trHeight w:val="406"/>
        </w:trPr>
        <w:tc>
          <w:tcPr>
            <w:tcW w:w="3088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Degree Course:</w:t>
            </w:r>
          </w:p>
        </w:tc>
        <w:tc>
          <w:tcPr>
            <w:tcW w:w="3088" w:type="dxa"/>
          </w:tcPr>
          <w:p w:rsidR="00151CA8" w:rsidRPr="00BA1CB7" w:rsidRDefault="00151CA8" w:rsidP="008736E0">
            <w:r w:rsidRPr="00BA1CB7">
              <w:t>Law</w:t>
            </w:r>
          </w:p>
        </w:tc>
      </w:tr>
      <w:tr w:rsidR="00151CA8" w:rsidRPr="00BA1CB7" w:rsidTr="008736E0">
        <w:trPr>
          <w:trHeight w:val="454"/>
        </w:trPr>
        <w:tc>
          <w:tcPr>
            <w:tcW w:w="3088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University:</w:t>
            </w:r>
          </w:p>
        </w:tc>
        <w:tc>
          <w:tcPr>
            <w:tcW w:w="3088" w:type="dxa"/>
          </w:tcPr>
          <w:p w:rsidR="00151CA8" w:rsidRDefault="00151CA8" w:rsidP="008736E0">
            <w:r w:rsidRPr="00BA1CB7">
              <w:t>Trinity College, Dublin</w:t>
            </w:r>
          </w:p>
          <w:p w:rsidR="00151CA8" w:rsidRPr="00BA1CB7" w:rsidRDefault="00151CA8" w:rsidP="008736E0">
            <w:r>
              <w:t>(exchange at The University of Hong Kong</w:t>
            </w:r>
          </w:p>
        </w:tc>
      </w:tr>
      <w:tr w:rsidR="00151CA8" w:rsidRPr="00BA1CB7" w:rsidTr="008736E0">
        <w:trPr>
          <w:trHeight w:val="454"/>
        </w:trPr>
        <w:tc>
          <w:tcPr>
            <w:tcW w:w="3088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GPA or average grade to date:</w:t>
            </w:r>
          </w:p>
        </w:tc>
        <w:tc>
          <w:tcPr>
            <w:tcW w:w="3088" w:type="dxa"/>
          </w:tcPr>
          <w:p w:rsidR="00151CA8" w:rsidRPr="00BA1CB7" w:rsidRDefault="00151CA8" w:rsidP="008736E0">
            <w:r>
              <w:t>63</w:t>
            </w:r>
            <w:r w:rsidRPr="00BA1CB7">
              <w:t>%</w:t>
            </w:r>
          </w:p>
        </w:tc>
      </w:tr>
    </w:tbl>
    <w:p w:rsidR="00151CA8" w:rsidRPr="00BA1CB7" w:rsidRDefault="00151CA8" w:rsidP="00151C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7"/>
        <w:gridCol w:w="1260"/>
        <w:gridCol w:w="2514"/>
      </w:tblGrid>
      <w:tr w:rsidR="00151CA8" w:rsidRPr="00BA1CB7" w:rsidTr="008736E0">
        <w:trPr>
          <w:trHeight w:val="303"/>
        </w:trPr>
        <w:tc>
          <w:tcPr>
            <w:tcW w:w="3767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Year 1- Subject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  <w:rPr>
                <w:b/>
              </w:rPr>
            </w:pPr>
            <w:r w:rsidRPr="00BA1CB7">
              <w:rPr>
                <w:b/>
              </w:rPr>
              <w:t>%</w:t>
            </w:r>
          </w:p>
        </w:tc>
        <w:tc>
          <w:tcPr>
            <w:tcW w:w="2514" w:type="dxa"/>
          </w:tcPr>
          <w:p w:rsidR="00151CA8" w:rsidRPr="00BA1CB7" w:rsidRDefault="00151CA8" w:rsidP="008736E0">
            <w:pPr>
              <w:rPr>
                <w:b/>
              </w:rPr>
            </w:pPr>
            <w:r w:rsidRPr="00BA1CB7">
              <w:rPr>
                <w:b/>
              </w:rPr>
              <w:t>Grade</w:t>
            </w:r>
          </w:p>
        </w:tc>
      </w:tr>
      <w:tr w:rsidR="00151CA8" w:rsidRPr="00BA1CB7" w:rsidTr="008736E0">
        <w:trPr>
          <w:trHeight w:val="321"/>
        </w:trPr>
        <w:tc>
          <w:tcPr>
            <w:tcW w:w="3767" w:type="dxa"/>
          </w:tcPr>
          <w:p w:rsidR="00151CA8" w:rsidRPr="00BA1CB7" w:rsidRDefault="00151CA8" w:rsidP="008736E0">
            <w:r w:rsidRPr="00BA1CB7">
              <w:t>Constitutional Law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</w:pPr>
            <w:r w:rsidRPr="00BA1CB7">
              <w:t>68</w:t>
            </w:r>
          </w:p>
        </w:tc>
        <w:tc>
          <w:tcPr>
            <w:tcW w:w="2514" w:type="dxa"/>
          </w:tcPr>
          <w:p w:rsidR="00151CA8" w:rsidRPr="00BA1CB7" w:rsidRDefault="00151CA8" w:rsidP="008736E0">
            <w:r w:rsidRPr="00BA1CB7">
              <w:t>II-1</w:t>
            </w:r>
          </w:p>
        </w:tc>
      </w:tr>
      <w:tr w:rsidR="00151CA8" w:rsidRPr="00BA1CB7" w:rsidTr="008736E0">
        <w:trPr>
          <w:trHeight w:val="321"/>
        </w:trPr>
        <w:tc>
          <w:tcPr>
            <w:tcW w:w="3767" w:type="dxa"/>
          </w:tcPr>
          <w:p w:rsidR="00151CA8" w:rsidRPr="00BA1CB7" w:rsidRDefault="00151CA8" w:rsidP="008736E0">
            <w:r w:rsidRPr="00BA1CB7">
              <w:t>Irish Legal System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</w:pPr>
            <w:r w:rsidRPr="00BA1CB7">
              <w:t>66</w:t>
            </w:r>
          </w:p>
        </w:tc>
        <w:tc>
          <w:tcPr>
            <w:tcW w:w="2514" w:type="dxa"/>
          </w:tcPr>
          <w:p w:rsidR="00151CA8" w:rsidRPr="00BA1CB7" w:rsidRDefault="00151CA8" w:rsidP="008736E0">
            <w:r w:rsidRPr="00BA1CB7">
              <w:t>II-1</w:t>
            </w:r>
          </w:p>
        </w:tc>
      </w:tr>
      <w:tr w:rsidR="00151CA8" w:rsidRPr="00BA1CB7" w:rsidTr="008736E0">
        <w:trPr>
          <w:trHeight w:val="303"/>
        </w:trPr>
        <w:tc>
          <w:tcPr>
            <w:tcW w:w="3767" w:type="dxa"/>
          </w:tcPr>
          <w:p w:rsidR="00151CA8" w:rsidRPr="00BA1CB7" w:rsidRDefault="00151CA8" w:rsidP="008736E0">
            <w:r w:rsidRPr="00BA1CB7">
              <w:t>Tort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</w:pPr>
            <w:r w:rsidRPr="00BA1CB7">
              <w:t>65</w:t>
            </w:r>
          </w:p>
        </w:tc>
        <w:tc>
          <w:tcPr>
            <w:tcW w:w="2514" w:type="dxa"/>
          </w:tcPr>
          <w:p w:rsidR="00151CA8" w:rsidRPr="00BA1CB7" w:rsidRDefault="00151CA8" w:rsidP="008736E0">
            <w:r w:rsidRPr="00BA1CB7">
              <w:t>II-1</w:t>
            </w:r>
          </w:p>
        </w:tc>
      </w:tr>
      <w:tr w:rsidR="00151CA8" w:rsidRPr="00BA1CB7" w:rsidTr="008736E0">
        <w:trPr>
          <w:trHeight w:val="321"/>
        </w:trPr>
        <w:tc>
          <w:tcPr>
            <w:tcW w:w="3767" w:type="dxa"/>
          </w:tcPr>
          <w:p w:rsidR="00151CA8" w:rsidRPr="00BA1CB7" w:rsidRDefault="00151CA8" w:rsidP="008736E0">
            <w:r w:rsidRPr="00BA1CB7">
              <w:t>Legislation &amp; Regulation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</w:pPr>
            <w:r w:rsidRPr="00BA1CB7">
              <w:t>64</w:t>
            </w:r>
          </w:p>
        </w:tc>
        <w:tc>
          <w:tcPr>
            <w:tcW w:w="2514" w:type="dxa"/>
          </w:tcPr>
          <w:p w:rsidR="00151CA8" w:rsidRPr="00BA1CB7" w:rsidRDefault="00151CA8" w:rsidP="008736E0">
            <w:r w:rsidRPr="00BA1CB7">
              <w:t>II-1</w:t>
            </w:r>
          </w:p>
        </w:tc>
      </w:tr>
      <w:tr w:rsidR="00151CA8" w:rsidRPr="00BA1CB7" w:rsidTr="008736E0">
        <w:trPr>
          <w:trHeight w:val="303"/>
        </w:trPr>
        <w:tc>
          <w:tcPr>
            <w:tcW w:w="3767" w:type="dxa"/>
          </w:tcPr>
          <w:p w:rsidR="00151CA8" w:rsidRPr="00BA1CB7" w:rsidRDefault="00151CA8" w:rsidP="008736E0">
            <w:r w:rsidRPr="00BA1CB7">
              <w:lastRenderedPageBreak/>
              <w:t>Criminal Law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</w:pPr>
            <w:r w:rsidRPr="00BA1CB7">
              <w:t>64</w:t>
            </w:r>
          </w:p>
        </w:tc>
        <w:tc>
          <w:tcPr>
            <w:tcW w:w="2514" w:type="dxa"/>
          </w:tcPr>
          <w:p w:rsidR="00151CA8" w:rsidRPr="00BA1CB7" w:rsidRDefault="00151CA8" w:rsidP="008736E0">
            <w:r w:rsidRPr="00BA1CB7">
              <w:t>II-1</w:t>
            </w:r>
          </w:p>
        </w:tc>
      </w:tr>
      <w:tr w:rsidR="00151CA8" w:rsidRPr="00BA1CB7" w:rsidTr="008736E0">
        <w:trPr>
          <w:trHeight w:val="339"/>
        </w:trPr>
        <w:tc>
          <w:tcPr>
            <w:tcW w:w="3767" w:type="dxa"/>
          </w:tcPr>
          <w:p w:rsidR="00151CA8" w:rsidRPr="00BA1CB7" w:rsidRDefault="00151CA8" w:rsidP="008736E0">
            <w:r w:rsidRPr="00BA1CB7">
              <w:t>Contract Law</w:t>
            </w:r>
          </w:p>
        </w:tc>
        <w:tc>
          <w:tcPr>
            <w:tcW w:w="1260" w:type="dxa"/>
          </w:tcPr>
          <w:p w:rsidR="00151CA8" w:rsidRPr="00BA1CB7" w:rsidRDefault="00151CA8" w:rsidP="008736E0">
            <w:pPr>
              <w:jc w:val="center"/>
            </w:pPr>
            <w:r w:rsidRPr="00BA1CB7">
              <w:t>44</w:t>
            </w:r>
          </w:p>
        </w:tc>
        <w:tc>
          <w:tcPr>
            <w:tcW w:w="2514" w:type="dxa"/>
          </w:tcPr>
          <w:p w:rsidR="00151CA8" w:rsidRPr="00BA1CB7" w:rsidRDefault="00151CA8" w:rsidP="008736E0">
            <w:r w:rsidRPr="00BA1CB7">
              <w:t>III</w:t>
            </w:r>
          </w:p>
        </w:tc>
      </w:tr>
    </w:tbl>
    <w:p w:rsidR="00151CA8" w:rsidRDefault="00151CA8" w:rsidP="00151CA8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68"/>
        <w:gridCol w:w="1253"/>
        <w:gridCol w:w="2511"/>
      </w:tblGrid>
      <w:tr w:rsidR="00151CA8" w:rsidRPr="00332996" w:rsidTr="008736E0">
        <w:trPr>
          <w:trHeight w:val="290"/>
        </w:trPr>
        <w:tc>
          <w:tcPr>
            <w:tcW w:w="3768" w:type="dxa"/>
          </w:tcPr>
          <w:p w:rsidR="00151CA8" w:rsidRPr="00332996" w:rsidRDefault="00151CA8" w:rsidP="008736E0">
            <w:pPr>
              <w:rPr>
                <w:b/>
              </w:rPr>
            </w:pPr>
            <w:r w:rsidRPr="00332996">
              <w:rPr>
                <w:b/>
              </w:rPr>
              <w:t>Year 2- Subject</w:t>
            </w:r>
          </w:p>
        </w:tc>
        <w:tc>
          <w:tcPr>
            <w:tcW w:w="1253" w:type="dxa"/>
          </w:tcPr>
          <w:p w:rsidR="00151CA8" w:rsidRPr="00332996" w:rsidRDefault="00151CA8" w:rsidP="008736E0">
            <w:pPr>
              <w:rPr>
                <w:b/>
              </w:rPr>
            </w:pPr>
            <w:r w:rsidRPr="00332996">
              <w:rPr>
                <w:b/>
              </w:rPr>
              <w:t>%</w:t>
            </w:r>
          </w:p>
        </w:tc>
        <w:tc>
          <w:tcPr>
            <w:tcW w:w="2511" w:type="dxa"/>
          </w:tcPr>
          <w:p w:rsidR="00151CA8" w:rsidRPr="00332996" w:rsidRDefault="00151CA8" w:rsidP="008736E0">
            <w:pPr>
              <w:rPr>
                <w:b/>
              </w:rPr>
            </w:pPr>
            <w:r w:rsidRPr="00332996">
              <w:rPr>
                <w:b/>
              </w:rPr>
              <w:t>Grade</w:t>
            </w:r>
          </w:p>
        </w:tc>
      </w:tr>
      <w:tr w:rsidR="00151CA8" w:rsidRPr="00332996" w:rsidTr="008736E0">
        <w:trPr>
          <w:trHeight w:val="290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Administrative Law</w:t>
            </w:r>
          </w:p>
        </w:tc>
        <w:tc>
          <w:tcPr>
            <w:tcW w:w="1253" w:type="dxa"/>
          </w:tcPr>
          <w:p w:rsidR="00151CA8" w:rsidRPr="00332996" w:rsidRDefault="00151CA8" w:rsidP="008736E0">
            <w:r w:rsidRPr="00332996">
              <w:t>66</w:t>
            </w:r>
          </w:p>
        </w:tc>
        <w:tc>
          <w:tcPr>
            <w:tcW w:w="2511" w:type="dxa"/>
          </w:tcPr>
          <w:p w:rsidR="00151CA8" w:rsidRPr="00332996" w:rsidRDefault="00151CA8" w:rsidP="008736E0">
            <w:r w:rsidRPr="00332996">
              <w:t>II-1</w:t>
            </w:r>
          </w:p>
        </w:tc>
      </w:tr>
      <w:tr w:rsidR="00151CA8" w:rsidRPr="00332996" w:rsidTr="008736E0">
        <w:trPr>
          <w:trHeight w:val="273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Equity</w:t>
            </w:r>
          </w:p>
        </w:tc>
        <w:tc>
          <w:tcPr>
            <w:tcW w:w="1253" w:type="dxa"/>
          </w:tcPr>
          <w:p w:rsidR="00151CA8" w:rsidRPr="00332996" w:rsidRDefault="00151CA8" w:rsidP="008736E0">
            <w:r w:rsidRPr="00332996">
              <w:t>61</w:t>
            </w:r>
          </w:p>
        </w:tc>
        <w:tc>
          <w:tcPr>
            <w:tcW w:w="2511" w:type="dxa"/>
          </w:tcPr>
          <w:p w:rsidR="00151CA8" w:rsidRPr="00332996" w:rsidRDefault="00151CA8" w:rsidP="008736E0">
            <w:r w:rsidRPr="00332996">
              <w:t>II-1</w:t>
            </w:r>
          </w:p>
        </w:tc>
      </w:tr>
      <w:tr w:rsidR="00151CA8" w:rsidRPr="00332996" w:rsidTr="008736E0">
        <w:trPr>
          <w:trHeight w:val="273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Private Law Remedies</w:t>
            </w:r>
          </w:p>
        </w:tc>
        <w:tc>
          <w:tcPr>
            <w:tcW w:w="1253" w:type="dxa"/>
          </w:tcPr>
          <w:p w:rsidR="00151CA8" w:rsidRPr="00332996" w:rsidRDefault="00151CA8" w:rsidP="008736E0">
            <w:r w:rsidRPr="00332996">
              <w:t>59</w:t>
            </w:r>
          </w:p>
        </w:tc>
        <w:tc>
          <w:tcPr>
            <w:tcW w:w="2511" w:type="dxa"/>
          </w:tcPr>
          <w:p w:rsidR="00151CA8" w:rsidRPr="00332996" w:rsidRDefault="00151CA8" w:rsidP="008736E0">
            <w:r w:rsidRPr="00332996">
              <w:t>II-2</w:t>
            </w:r>
          </w:p>
        </w:tc>
      </w:tr>
      <w:tr w:rsidR="00151CA8" w:rsidRPr="00332996" w:rsidTr="008736E0">
        <w:trPr>
          <w:trHeight w:val="273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Land Law</w:t>
            </w:r>
          </w:p>
        </w:tc>
        <w:tc>
          <w:tcPr>
            <w:tcW w:w="1253" w:type="dxa"/>
          </w:tcPr>
          <w:p w:rsidR="00151CA8" w:rsidRPr="00332996" w:rsidRDefault="00151CA8" w:rsidP="008736E0">
            <w:r w:rsidRPr="00332996">
              <w:t>59</w:t>
            </w:r>
          </w:p>
        </w:tc>
        <w:tc>
          <w:tcPr>
            <w:tcW w:w="2511" w:type="dxa"/>
          </w:tcPr>
          <w:p w:rsidR="00151CA8" w:rsidRPr="00332996" w:rsidRDefault="00151CA8" w:rsidP="008736E0">
            <w:r w:rsidRPr="00332996">
              <w:t>II-2</w:t>
            </w:r>
          </w:p>
        </w:tc>
      </w:tr>
      <w:tr w:rsidR="00151CA8" w:rsidRPr="00332996" w:rsidTr="008736E0">
        <w:trPr>
          <w:trHeight w:val="273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Constitutional Law II</w:t>
            </w:r>
          </w:p>
        </w:tc>
        <w:tc>
          <w:tcPr>
            <w:tcW w:w="1253" w:type="dxa"/>
          </w:tcPr>
          <w:p w:rsidR="00151CA8" w:rsidRPr="00332996" w:rsidRDefault="00151CA8" w:rsidP="008736E0">
            <w:r w:rsidRPr="00332996">
              <w:t>56</w:t>
            </w:r>
          </w:p>
        </w:tc>
        <w:tc>
          <w:tcPr>
            <w:tcW w:w="2511" w:type="dxa"/>
          </w:tcPr>
          <w:p w:rsidR="00151CA8" w:rsidRPr="00332996" w:rsidRDefault="00151CA8" w:rsidP="008736E0">
            <w:r w:rsidRPr="00332996">
              <w:t>II-2</w:t>
            </w:r>
          </w:p>
        </w:tc>
      </w:tr>
      <w:tr w:rsidR="00151CA8" w:rsidRPr="00332996" w:rsidTr="008736E0">
        <w:trPr>
          <w:trHeight w:val="290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EU Law</w:t>
            </w:r>
          </w:p>
        </w:tc>
        <w:tc>
          <w:tcPr>
            <w:tcW w:w="1253" w:type="dxa"/>
          </w:tcPr>
          <w:p w:rsidR="00151CA8" w:rsidRPr="00332996" w:rsidRDefault="00151CA8" w:rsidP="008736E0">
            <w:r w:rsidRPr="00332996">
              <w:t>56</w:t>
            </w:r>
          </w:p>
        </w:tc>
        <w:tc>
          <w:tcPr>
            <w:tcW w:w="2511" w:type="dxa"/>
          </w:tcPr>
          <w:p w:rsidR="00151CA8" w:rsidRPr="00332996" w:rsidRDefault="00151CA8" w:rsidP="008736E0">
            <w:r w:rsidRPr="00332996">
              <w:t>II-2</w:t>
            </w:r>
          </w:p>
        </w:tc>
      </w:tr>
    </w:tbl>
    <w:p w:rsidR="00151CA8" w:rsidRPr="00332996" w:rsidRDefault="00151CA8" w:rsidP="00151CA8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68"/>
        <w:gridCol w:w="2451"/>
        <w:gridCol w:w="1313"/>
      </w:tblGrid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332996" w:rsidRDefault="00151CA8" w:rsidP="008736E0">
            <w:pPr>
              <w:rPr>
                <w:b/>
              </w:rPr>
            </w:pPr>
            <w:r w:rsidRPr="00332996">
              <w:rPr>
                <w:b/>
              </w:rPr>
              <w:t>Year 3</w:t>
            </w:r>
            <w:r>
              <w:rPr>
                <w:b/>
              </w:rPr>
              <w:t xml:space="preserve"> </w:t>
            </w:r>
            <w:r w:rsidRPr="00332996">
              <w:rPr>
                <w:b/>
              </w:rPr>
              <w:t>-Subject</w:t>
            </w:r>
          </w:p>
        </w:tc>
        <w:tc>
          <w:tcPr>
            <w:tcW w:w="2451" w:type="dxa"/>
          </w:tcPr>
          <w:p w:rsidR="00151CA8" w:rsidRPr="00332996" w:rsidRDefault="00151CA8" w:rsidP="008736E0">
            <w:pPr>
              <w:rPr>
                <w:b/>
              </w:rPr>
            </w:pPr>
            <w:r w:rsidRPr="00332996">
              <w:rPr>
                <w:b/>
              </w:rPr>
              <w:t>%</w:t>
            </w:r>
          </w:p>
        </w:tc>
        <w:tc>
          <w:tcPr>
            <w:tcW w:w="1313" w:type="dxa"/>
          </w:tcPr>
          <w:p w:rsidR="00151CA8" w:rsidRPr="00332996" w:rsidRDefault="00151CA8" w:rsidP="008736E0">
            <w:pPr>
              <w:rPr>
                <w:b/>
              </w:rPr>
            </w:pPr>
            <w:r w:rsidRPr="00332996">
              <w:rPr>
                <w:b/>
              </w:rPr>
              <w:t>Grade</w:t>
            </w:r>
          </w:p>
        </w:tc>
      </w:tr>
      <w:tr w:rsidR="00151CA8" w:rsidRPr="00332996" w:rsidTr="008736E0">
        <w:trPr>
          <w:trHeight w:val="81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Global Business Law I</w:t>
            </w:r>
          </w:p>
        </w:tc>
        <w:tc>
          <w:tcPr>
            <w:tcW w:w="2451" w:type="dxa"/>
          </w:tcPr>
          <w:p w:rsidR="00151CA8" w:rsidRPr="00332996" w:rsidRDefault="00151CA8" w:rsidP="008736E0">
            <w:r w:rsidRPr="00332996">
              <w:t>70</w:t>
            </w:r>
          </w:p>
        </w:tc>
        <w:tc>
          <w:tcPr>
            <w:tcW w:w="1313" w:type="dxa"/>
          </w:tcPr>
          <w:p w:rsidR="00151CA8" w:rsidRPr="00332996" w:rsidRDefault="00151CA8" w:rsidP="008736E0">
            <w:r w:rsidRPr="00332996">
              <w:t>1</w:t>
            </w:r>
          </w:p>
        </w:tc>
      </w:tr>
      <w:tr w:rsidR="00151CA8" w:rsidRPr="00332996" w:rsidTr="008736E0">
        <w:trPr>
          <w:trHeight w:val="81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Energy Law</w:t>
            </w:r>
          </w:p>
        </w:tc>
        <w:tc>
          <w:tcPr>
            <w:tcW w:w="2451" w:type="dxa"/>
          </w:tcPr>
          <w:p w:rsidR="00151CA8" w:rsidRPr="00332996" w:rsidRDefault="00151CA8" w:rsidP="008736E0">
            <w:r w:rsidRPr="00332996">
              <w:t>67</w:t>
            </w:r>
          </w:p>
        </w:tc>
        <w:tc>
          <w:tcPr>
            <w:tcW w:w="1313" w:type="dxa"/>
          </w:tcPr>
          <w:p w:rsidR="00151CA8" w:rsidRPr="00332996" w:rsidRDefault="00151CA8" w:rsidP="008736E0">
            <w:r w:rsidRPr="00332996">
              <w:t>II-1</w:t>
            </w:r>
          </w:p>
        </w:tc>
      </w:tr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Regulation of Financial Markets</w:t>
            </w:r>
          </w:p>
        </w:tc>
        <w:tc>
          <w:tcPr>
            <w:tcW w:w="2451" w:type="dxa"/>
          </w:tcPr>
          <w:p w:rsidR="00151CA8" w:rsidRPr="00332996" w:rsidRDefault="00151CA8" w:rsidP="008736E0">
            <w:r w:rsidRPr="00332996">
              <w:t>65</w:t>
            </w:r>
          </w:p>
        </w:tc>
        <w:tc>
          <w:tcPr>
            <w:tcW w:w="1313" w:type="dxa"/>
          </w:tcPr>
          <w:p w:rsidR="00151CA8" w:rsidRPr="00332996" w:rsidRDefault="00151CA8" w:rsidP="008736E0">
            <w:r w:rsidRPr="00332996">
              <w:t>II-1</w:t>
            </w:r>
          </w:p>
        </w:tc>
      </w:tr>
      <w:tr w:rsidR="00151CA8" w:rsidRPr="00332996" w:rsidTr="008736E0">
        <w:trPr>
          <w:trHeight w:val="81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Economic Analysis of Law</w:t>
            </w:r>
          </w:p>
        </w:tc>
        <w:tc>
          <w:tcPr>
            <w:tcW w:w="2451" w:type="dxa"/>
          </w:tcPr>
          <w:p w:rsidR="00151CA8" w:rsidRPr="00332996" w:rsidRDefault="00151CA8" w:rsidP="008736E0">
            <w:r w:rsidRPr="00332996">
              <w:t>63</w:t>
            </w:r>
          </w:p>
        </w:tc>
        <w:tc>
          <w:tcPr>
            <w:tcW w:w="1313" w:type="dxa"/>
          </w:tcPr>
          <w:p w:rsidR="00151CA8" w:rsidRPr="00332996" w:rsidRDefault="00151CA8" w:rsidP="008736E0">
            <w:r w:rsidRPr="00332996">
              <w:t>II-1</w:t>
            </w:r>
          </w:p>
        </w:tc>
      </w:tr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Resolution of Transnational</w:t>
            </w:r>
            <w:r>
              <w:t xml:space="preserve"> </w:t>
            </w:r>
            <w:r w:rsidRPr="00332996">
              <w:t>Commercial Disputes</w:t>
            </w:r>
          </w:p>
        </w:tc>
        <w:tc>
          <w:tcPr>
            <w:tcW w:w="2451" w:type="dxa"/>
          </w:tcPr>
          <w:p w:rsidR="00151CA8" w:rsidRPr="00332996" w:rsidRDefault="00151CA8" w:rsidP="008736E0">
            <w:r>
              <w:t>70</w:t>
            </w:r>
          </w:p>
        </w:tc>
        <w:tc>
          <w:tcPr>
            <w:tcW w:w="1313" w:type="dxa"/>
          </w:tcPr>
          <w:p w:rsidR="00151CA8" w:rsidRPr="00332996" w:rsidRDefault="00151CA8" w:rsidP="008736E0">
            <w:r>
              <w:t>1</w:t>
            </w:r>
          </w:p>
        </w:tc>
      </w:tr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Cross Border Corporate Finance</w:t>
            </w:r>
          </w:p>
        </w:tc>
        <w:tc>
          <w:tcPr>
            <w:tcW w:w="2451" w:type="dxa"/>
          </w:tcPr>
          <w:p w:rsidR="00151CA8" w:rsidRPr="00332996" w:rsidRDefault="00151CA8" w:rsidP="008736E0">
            <w:r>
              <w:t>65</w:t>
            </w:r>
          </w:p>
        </w:tc>
        <w:tc>
          <w:tcPr>
            <w:tcW w:w="1313" w:type="dxa"/>
          </w:tcPr>
          <w:p w:rsidR="00151CA8" w:rsidRPr="00332996" w:rsidRDefault="00151CA8" w:rsidP="008736E0">
            <w:r>
              <w:t>II-1</w:t>
            </w:r>
          </w:p>
        </w:tc>
      </w:tr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Contract Drafting &amp; Selected Commercial Issues</w:t>
            </w:r>
          </w:p>
        </w:tc>
        <w:tc>
          <w:tcPr>
            <w:tcW w:w="2451" w:type="dxa"/>
          </w:tcPr>
          <w:p w:rsidR="00151CA8" w:rsidRPr="00332996" w:rsidRDefault="00151CA8" w:rsidP="008736E0">
            <w:r>
              <w:t>70</w:t>
            </w:r>
          </w:p>
        </w:tc>
        <w:tc>
          <w:tcPr>
            <w:tcW w:w="1313" w:type="dxa"/>
          </w:tcPr>
          <w:p w:rsidR="00151CA8" w:rsidRPr="00332996" w:rsidRDefault="00151CA8" w:rsidP="008736E0">
            <w:r>
              <w:t>1</w:t>
            </w:r>
          </w:p>
        </w:tc>
      </w:tr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332996" w:rsidRDefault="00151CA8" w:rsidP="008736E0">
            <w:r w:rsidRPr="00332996">
              <w:t>Global Business Law II</w:t>
            </w:r>
          </w:p>
        </w:tc>
        <w:tc>
          <w:tcPr>
            <w:tcW w:w="2451" w:type="dxa"/>
          </w:tcPr>
          <w:p w:rsidR="00151CA8" w:rsidRPr="00332996" w:rsidRDefault="00151CA8" w:rsidP="008736E0">
            <w:r>
              <w:t>70</w:t>
            </w:r>
          </w:p>
        </w:tc>
        <w:tc>
          <w:tcPr>
            <w:tcW w:w="1313" w:type="dxa"/>
          </w:tcPr>
          <w:p w:rsidR="00151CA8" w:rsidRPr="00332996" w:rsidRDefault="00151CA8" w:rsidP="008736E0">
            <w:r>
              <w:t>1</w:t>
            </w:r>
          </w:p>
        </w:tc>
      </w:tr>
      <w:tr w:rsidR="00151CA8" w:rsidRPr="00332996" w:rsidTr="008736E0">
        <w:trPr>
          <w:trHeight w:val="76"/>
        </w:trPr>
        <w:tc>
          <w:tcPr>
            <w:tcW w:w="3768" w:type="dxa"/>
          </w:tcPr>
          <w:p w:rsidR="00151CA8" w:rsidRPr="00743F0D" w:rsidRDefault="00151CA8" w:rsidP="008736E0">
            <w:pPr>
              <w:rPr>
                <w:b/>
              </w:rPr>
            </w:pPr>
            <w:r>
              <w:rPr>
                <w:b/>
              </w:rPr>
              <w:t>End of year average</w:t>
            </w:r>
          </w:p>
        </w:tc>
        <w:tc>
          <w:tcPr>
            <w:tcW w:w="2451" w:type="dxa"/>
          </w:tcPr>
          <w:p w:rsidR="00151CA8" w:rsidRPr="00743F0D" w:rsidRDefault="00151CA8" w:rsidP="008736E0">
            <w:pPr>
              <w:rPr>
                <w:b/>
              </w:rPr>
            </w:pPr>
            <w:r w:rsidRPr="00743F0D">
              <w:rPr>
                <w:b/>
              </w:rPr>
              <w:t>68</w:t>
            </w:r>
          </w:p>
        </w:tc>
        <w:tc>
          <w:tcPr>
            <w:tcW w:w="1313" w:type="dxa"/>
          </w:tcPr>
          <w:p w:rsidR="00151CA8" w:rsidRPr="00743F0D" w:rsidRDefault="00151CA8" w:rsidP="008736E0">
            <w:pPr>
              <w:rPr>
                <w:b/>
                <w:i/>
              </w:rPr>
            </w:pPr>
            <w:r w:rsidRPr="00743F0D">
              <w:rPr>
                <w:b/>
              </w:rPr>
              <w:t>II-1</w:t>
            </w:r>
          </w:p>
        </w:tc>
      </w:tr>
    </w:tbl>
    <w:p w:rsidR="002D0103" w:rsidRDefault="002D0103"/>
    <w:sectPr w:rsidR="002D0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80A1A"/>
    <w:multiLevelType w:val="hybridMultilevel"/>
    <w:tmpl w:val="7220A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97F85"/>
    <w:multiLevelType w:val="multilevel"/>
    <w:tmpl w:val="EDE6113A"/>
    <w:numStyleLink w:val="CurrentList1"/>
  </w:abstractNum>
  <w:abstractNum w:abstractNumId="2" w15:restartNumberingAfterBreak="0">
    <w:nsid w:val="72DC394F"/>
    <w:multiLevelType w:val="hybridMultilevel"/>
    <w:tmpl w:val="879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3D32"/>
    <w:multiLevelType w:val="multilevel"/>
    <w:tmpl w:val="EDE6113A"/>
    <w:styleLink w:val="CurrentList1"/>
    <w:lvl w:ilvl="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A8"/>
    <w:rsid w:val="00151CA8"/>
    <w:rsid w:val="002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72350-5CC0-4254-A825-F80D3AA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CA8"/>
    <w:pPr>
      <w:spacing w:after="200" w:line="276" w:lineRule="auto"/>
    </w:pPr>
    <w:rPr>
      <w:rFonts w:eastAsiaTheme="minorHAnsi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51CA8"/>
    <w:pPr>
      <w:ind w:left="720"/>
      <w:contextualSpacing/>
    </w:pPr>
  </w:style>
  <w:style w:type="table" w:styleId="TableGrid">
    <w:name w:val="Table Grid"/>
    <w:basedOn w:val="TableNormal"/>
    <w:uiPriority w:val="59"/>
    <w:rsid w:val="00151CA8"/>
    <w:pPr>
      <w:spacing w:after="0" w:line="240" w:lineRule="auto"/>
    </w:pPr>
    <w:rPr>
      <w:rFonts w:eastAsiaTheme="minorHAnsi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51CA8"/>
    <w:pPr>
      <w:spacing w:after="0" w:line="240" w:lineRule="auto"/>
    </w:pPr>
    <w:rPr>
      <w:rFonts w:eastAsiaTheme="minorHAnsi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151CA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Roe</dc:creator>
  <cp:keywords/>
  <dc:description/>
  <cp:lastModifiedBy>Liam Roe</cp:lastModifiedBy>
  <cp:revision>1</cp:revision>
  <dcterms:created xsi:type="dcterms:W3CDTF">2015-10-23T22:40:00Z</dcterms:created>
  <dcterms:modified xsi:type="dcterms:W3CDTF">2015-10-23T22:41:00Z</dcterms:modified>
</cp:coreProperties>
</file>