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939.0" w:type="dxa"/>
        <w:jc w:val="left"/>
        <w:tblInd w:w="-7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1939"/>
        <w:tblGridChange w:id="0">
          <w:tblGrid>
            <w:gridCol w:w="11939"/>
          </w:tblGrid>
        </w:tblGridChange>
      </w:tblGrid>
      <w:tr>
        <w:trPr>
          <w:cantSplit w:val="0"/>
          <w:trHeight w:val="144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8cb2c4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48"/>
                <w:szCs w:val="48"/>
                <w:rtl w:val="0"/>
              </w:rPr>
              <w:t xml:space="preserve">         Luke Keane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        Title - Senior Business Development Manager (VP)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48"/>
                <w:szCs w:val="4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        Sales &amp; Relationship Management                                                                     </w:t>
              <w:tab/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62733" cy="172306"/>
                  <wp:effectExtent b="0" l="0" r="0" t="0"/>
                  <wp:docPr descr="Envelope" id="64" name="image3.png"/>
                  <a:graphic>
                    <a:graphicData uri="http://schemas.openxmlformats.org/drawingml/2006/picture">
                      <pic:pic>
                        <pic:nvPicPr>
                          <pic:cNvPr descr="Envelope"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3" cy="1723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u w:val="single"/>
                  <w:rtl w:val="0"/>
                </w:rPr>
                <w:t xml:space="preserve">Lukekeane@hotmail.com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16289" cy="198662"/>
                  <wp:effectExtent b="0" l="0" r="0" t="0"/>
                  <wp:docPr descr="Receiver" id="66" name="image4.png"/>
                  <a:graphic>
                    <a:graphicData uri="http://schemas.openxmlformats.org/drawingml/2006/picture">
                      <pic:pic>
                        <pic:nvPicPr>
                          <pic:cNvPr descr="Receiver"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9" cy="198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+353 (0)87 9413278  , 077 07145363  London - United Kingdom                                           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spacing w:after="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Professional Profile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both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Vice President Level Business Development &amp; Relationship Manager with 10 years of experience within the Financial Services Sector. Successfully driving results and fostering enduring strategic partnerships. Possessing a keen acumen for commercial dynamics, adeptly steering global account portfolios and adeptly capitalising on revenue-generating prospects.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spacing w:after="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Career Summary</w:t>
      </w:r>
    </w:p>
    <w:tbl>
      <w:tblPr>
        <w:tblStyle w:val="Table2"/>
        <w:tblW w:w="10466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9"/>
        <w:gridCol w:w="8012"/>
        <w:gridCol w:w="2035"/>
        <w:tblGridChange w:id="0">
          <w:tblGrid>
            <w:gridCol w:w="419"/>
            <w:gridCol w:w="8012"/>
            <w:gridCol w:w="2035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65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RBC/CACEIS  - Global Client Coverage (VP) - Senior Business Development and Relationship Management - London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RBC Investor &amp; Treasury Services - acquisition by Caceis Q2 2024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Nov 2023 - Present </w:t>
            </w:r>
          </w:p>
        </w:tc>
      </w:tr>
    </w:tbl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Responsibilities &amp; achievements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Assessed as Fit &amp; Proper under the FCA/PRA Certification Regime.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Driving client strategies and campaigns while spearheading both the acquisition of new business and the nurturing of existing client relationships within Financial Services and the Funds space.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Client book includes leading Global Banks, UK &amp; US Asset Managers and Insurance Organisations, with Global Law firms and Consultancies as secondary clients.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Achieved substantial growth across Private Capital, Infrastructure and Real Estate.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Total revenue generated : £800,000 across the US, UK and Europe while managing two junior team members.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Overseeing the execution of the client marketing strategy globally and responsible for pitches and RFP’s.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Commanding the entire lifecycle of deals, orchestrating seamless negotiations from inception to closure.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Successfully selling Global and Cross-Asset Market Solutions to market leading organisations.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Rule="auto"/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Committed to innovative and value-add asset servicing solutions to clients and prospects.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Seamlessly orchestrating the transition of clients from RBC to Caceis, demonstrating collaborative efforts across multifaceted functions to ensure a frictionless migration.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Managing all aspects of client relationship management including onboarding and strategic growth.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Representing the firm at multiple industry events cultivating invaluable senior-level connections.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Developing and leveraging an internal network across product, operations, legal, KYC, risk, pricing and others to build innovative solutions and identify cross-sell opportunities to deepen and increase the share of wallet.</w:t>
      </w:r>
    </w:p>
    <w:tbl>
      <w:tblPr>
        <w:tblStyle w:val="Table3"/>
        <w:tblW w:w="10466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9"/>
        <w:gridCol w:w="8012"/>
        <w:gridCol w:w="2035"/>
        <w:tblGridChange w:id="0">
          <w:tblGrid>
            <w:gridCol w:w="419"/>
            <w:gridCol w:w="8012"/>
            <w:gridCol w:w="2035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68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First Derivative – Business Development Partner - London</w:t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Largest Global Capital Markets Consultancy -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Jan 2023 - Aug 2023</w:t>
            </w:r>
          </w:p>
        </w:tc>
      </w:tr>
    </w:tbl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Responsibilities &amp; achievements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Successfully generating £1.6 million in revenue selling to Tier 1 &amp; 2 Banks, Asset Managers and FinTech’s.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Driving new business acquisition and nurturing client relationships, proactively owning, uncovering, and anticipating future needs, roadblocks or risks.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Coordinating multiple teams, including specialists and subject matter experts, developing tailored solutions.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Conducted comprehensive market analyses and research to discern emerging innovation trends, and adeptly customised each client opportunity accordingly.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Oversaw onboarding processes and ensured stringent compliance with "Know Your Customer" (KYC) protocols. 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Successful cultivation of executive-level relationships, prioritising strategic business development initiatives.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Highly effective at fostering internal alliances across diverse business functions.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Delivered stellar results in new business acquisition, generating a multi million pound pipeline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Crafted meticulous account strategies, scrutinised performance metrics, and orchestrated cross-functional collaboration to introduce innovative propositions to market, driving both cross-selling and upselling endeavours.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Pioneered digital transformation and innovation solutions, while expertly managing team allocations and delivering compelling proposals and RFPs.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Served as a prominent ambassador for the firm at esteemed industry events, fostering valuable senior-level relationships. 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Consistently exceeded client expectations and cultivated trust by prioritising a client-centric approach. 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Demonstrated meticulous attention to detail and exceptional organisational skills, enabling the adept management of complex assignments and the consistent delivery of high-quality results.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jc w:val="both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9"/>
        <w:gridCol w:w="8012"/>
        <w:gridCol w:w="2035"/>
        <w:tblGridChange w:id="0">
          <w:tblGrid>
            <w:gridCol w:w="419"/>
            <w:gridCol w:w="8012"/>
            <w:gridCol w:w="2035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67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UBS - Associate Director - Client Outreach (Business Development &amp; Relationship Manager) - London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highlight w:val="white"/>
                <w:rtl w:val="0"/>
              </w:rPr>
              <w:t xml:space="preserve">Bank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Jan 2018 – May 2022 </w:t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Responsibilities &amp; achievements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Successfully elevated to a leadership role as a Team Leader, orchestrating cross-functional collaboration and adeptly managing global client relationships.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Demonstrated proactive anticipation of client needs and introduced innovative solutions to drive client satisfaction and revenue growth.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Led the end-to-end client lifecycle implementation and expansion efforts within relationship management for tier one clients. 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Pioneered the establishment and expansion of the client outreach function in the UK.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Relocated to New York and Singapore for periods for regional team expansion and client needs.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Consistently achieved targets across diverse product portfolios, showcasing a deep understanding of market dynamics and client requirements through meticulous industry research and analysis.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Served as a subject matter expert in conducting comprehensive KYC (Know Your Customer) and AML (Anti-Money Laundering) due diligence for both existing and prospective client relationships, supervised global KYC teams.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Led interdepartmental project management initiatives, collaborating closely with sales and trading teams to formulate effective account strategies and drive business growth.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Fostered strong working relationships with C-suite executives, serving as a trusted liaison for day-to-day client management and strategic decision-making.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Exhibited exceptional communication and leadership skills in crafting and delivering persuasive client pitches to senior stakeholders.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Played a pivotal role in the development and training of internal teams, fostering a culture of continuous learning and driving improvements in departmental performance.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8"/>
        <w:gridCol w:w="7923"/>
        <w:gridCol w:w="2119"/>
        <w:tblGridChange w:id="0">
          <w:tblGrid>
            <w:gridCol w:w="418"/>
            <w:gridCol w:w="7923"/>
            <w:gridCol w:w="211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70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Citi – Case Manager - Dublin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highlight w:val="white"/>
                <w:rtl w:val="0"/>
              </w:rPr>
              <w:t xml:space="preserve">Bank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Oct 2016 – Dec 2017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Responsibilities &amp; achievements</w:t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Spearheaded the meticulous preparation of client KYC records for global accounts.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Multiple top performer awards, including innovation and client satisfaction and promoted to a senior client facing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Played a pivotal role in partnering with relationship management to devise strategic approaches to enhancing client interactions.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Collaborated extensively with senior stakeholders on global initiatives, effectively navigating regulatory landscapes and implementing process enhancements to meet compliance requirements while driving operational efficiencies.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Initiated and executed enhancements to the client onboarding process, resulting in a significantly improved experience for new clients and enhancing overall satisfaction levels.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8"/>
        <w:gridCol w:w="7923"/>
        <w:gridCol w:w="2119"/>
        <w:tblGridChange w:id="0">
          <w:tblGrid>
            <w:gridCol w:w="418"/>
            <w:gridCol w:w="7923"/>
            <w:gridCol w:w="211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69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BNP Paribas - Analyst 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highlight w:val="white"/>
                <w:rtl w:val="0"/>
              </w:rPr>
              <w:t xml:space="preserve">Bank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ing - Contract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Feb 2016 - Aug 2016      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smallCap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sz w:val="22"/>
          <w:szCs w:val="22"/>
          <w:rtl w:val="0"/>
        </w:rPr>
        <w:t xml:space="preserve">Responsibilities &amp; achievements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Managed the allocation of European funds, ensuring accurate record-keeping and acting as a quality control resource for team members'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Prepared comprehensive documentation of fund breaches, proactively consulted with clients, and generated breach reports for presentation to the Irish Central Bank.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Participated in board meetings providing support in the development and delivery of presentations.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Conducted vigilant monitoring of daily encashment tax fluctuations and maintained updated ledgers accordingly.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8"/>
        <w:gridCol w:w="7923"/>
        <w:gridCol w:w="2119"/>
        <w:tblGridChange w:id="0">
          <w:tblGrid>
            <w:gridCol w:w="418"/>
            <w:gridCol w:w="7923"/>
            <w:gridCol w:w="211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Suitcase" id="72" name="image1.png"/>
                  <a:graphic>
                    <a:graphicData uri="http://schemas.openxmlformats.org/drawingml/2006/picture">
                      <pic:pic>
                        <pic:nvPicPr>
                          <pic:cNvPr descr="Suitcase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u w:val="single"/>
                <w:rtl w:val="0"/>
              </w:rPr>
              <w:t xml:space="preserve">Flynn &amp; McMorrow Solicitors - Paralegal</w:t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highlight w:val="white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egal Practice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i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1"/>
                <w:szCs w:val="21"/>
                <w:rtl w:val="0"/>
              </w:rPr>
              <w:t xml:space="preserve">May 2014 - Jan 2016</w:t>
            </w:r>
          </w:p>
        </w:tc>
      </w:tr>
    </w:tbl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spacing w:after="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Education</w:t>
      </w:r>
    </w:p>
    <w:tbl>
      <w:tblPr>
        <w:tblStyle w:val="Table8"/>
        <w:tblW w:w="10264.0" w:type="dxa"/>
        <w:jc w:val="left"/>
        <w:tblInd w:w="216.0" w:type="dxa"/>
        <w:tblLayout w:type="fixed"/>
        <w:tblLook w:val="0400"/>
      </w:tblPr>
      <w:tblGrid>
        <w:gridCol w:w="410"/>
        <w:gridCol w:w="7775"/>
        <w:gridCol w:w="2079"/>
        <w:tblGridChange w:id="0">
          <w:tblGrid>
            <w:gridCol w:w="410"/>
            <w:gridCol w:w="7775"/>
            <w:gridCol w:w="2079"/>
          </w:tblGrid>
        </w:tblGridChange>
      </w:tblGrid>
      <w:tr>
        <w:trPr>
          <w:cantSplit w:val="0"/>
          <w:trHeight w:val="114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Court" id="71" name="image2.png"/>
                  <a:graphic>
                    <a:graphicData uri="http://schemas.openxmlformats.org/drawingml/2006/picture">
                      <pic:pic>
                        <pic:nvPicPr>
                          <pic:cNvPr descr="Court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LLB / Hons,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National University of Ireland Galway</w:t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Court" id="75" name="image2.png"/>
                  <a:graphic>
                    <a:graphicData uri="http://schemas.openxmlformats.org/drawingml/2006/picture">
                      <pic:pic>
                        <pic:nvPicPr>
                          <pic:cNvPr descr="Court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Corporate Law / Hons,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National University of Ireland Galway</w:t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Court" id="73" name="image2.png"/>
                  <a:graphic>
                    <a:graphicData uri="http://schemas.openxmlformats.org/drawingml/2006/picture">
                      <pic:pic>
                        <pic:nvPicPr>
                          <pic:cNvPr descr="Court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Leaving Certificate,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Yeats College Galway</w:t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47755" cy="147755"/>
                  <wp:effectExtent b="0" l="0" r="0" t="0"/>
                  <wp:docPr descr="Court" id="74" name="image2.png"/>
                  <a:graphic>
                    <a:graphicData uri="http://schemas.openxmlformats.org/drawingml/2006/picture">
                      <pic:pic>
                        <pic:nvPicPr>
                          <pic:cNvPr descr="Court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5" cy="147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Boarding School,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Cistercian College Roscrea, Tipperary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jc w:val="both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spacing w:after="0" w:lineRule="auto"/>
        <w:jc w:val="both"/>
        <w:rPr>
          <w:rFonts w:ascii="Calibri" w:cs="Calibri" w:eastAsia="Calibri" w:hAnsi="Calibr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Skills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Adept at engaging and influencing C-Suite stakeholders, demonstrating confidence and composure. 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Possesses extensive experience as a versatile sales professional, with a diverse background spanning technology, consultancy, and capital markets.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Demonstrated exceptional leadership and management acumen, successfully overseeing, and guiding numerous teams to achieve outstanding results.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Exhibited excellent verbal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&amp;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written communication skills, delivering compelling presentations to diverse audiences.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Proven track record of effectively managing and nurturing commercial relationships, consistently surpassing set targets, and driving business growth.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Displaying a personable and outgoing nature, leveraging strong interpersonal skills to build rapport and establish connections with stakeholders.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Team player, capable of seamlessly collaborating within multi-disciplinary teams or working autonomously. 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Possesses strong project management abilities, effectively juggling multiple projects with stringent deadlines while maintaining quality and attention to detail.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Showcasing a client-centric and highly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organised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approach, consistently delivering exceptional service, and maintaining meticulous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organisation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in all aspects of work.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Signed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________________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Luke Keane</w:t>
      </w:r>
    </w:p>
    <w:sectPr>
      <w:headerReference r:id="rId12" w:type="default"/>
      <w:footerReference r:id="rId13" w:type="default"/>
      <w:pgSz w:h="16840" w:w="11900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right"/>
      <w:rPr>
        <w:rFonts w:ascii="Calibri" w:cs="Calibri" w:eastAsia="Calibri" w:hAnsi="Calibri"/>
        <w:i w:val="1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i w:val="1"/>
        <w:color w:val="000000"/>
        <w:sz w:val="18"/>
        <w:szCs w:val="18"/>
        <w:rtl w:val="0"/>
      </w:rPr>
      <w:t xml:space="preserve">Luke Keane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842" w:hanging="122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82" w:hanging="720.0000000000007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30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002" w:hanging="122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742" w:hanging="72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46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162" w:hanging="121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902" w:hanging="72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4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842" w:hanging="122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582" w:hanging="720.0000000000007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30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002" w:hanging="122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742" w:hanging="72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462" w:hanging="1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162" w:hanging="121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902" w:hanging="720"/>
      </w:pPr>
      <w:rPr>
        <w:rFonts w:ascii="Arimo" w:cs="Arimo" w:eastAsia="Arimo" w:hAnsi="Arimo"/>
        <w:b w:val="0"/>
        <w:i w:val="0"/>
        <w:smallCaps w:val="0"/>
        <w:strike w:val="0"/>
        <w:color w:val="71a0b6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 w:lineRule="auto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 w:lineRule="auto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 w:lineRule="auto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 w:lineRule="auto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 w:lineRule="auto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pBdr>
        <w:top w:space="0" w:sz="0" w:val="nil"/>
        <w:left w:space="0" w:sz="0" w:val="nil"/>
        <w:bottom w:color="c9c9c9" w:space="0" w:sz="4" w:val="single"/>
        <w:right w:space="0" w:sz="0" w:val="nil"/>
        <w:between w:space="0" w:sz="0" w:val="nil"/>
      </w:pBdr>
      <w:spacing w:after="240" w:before="40"/>
      <w:outlineLvl w:val="1"/>
    </w:pPr>
    <w:rPr>
      <w:rFonts w:ascii="Calibri" w:cs="Calibri" w:eastAsia="Calibri" w:hAnsi="Calibri"/>
      <w:color w:val="404040"/>
      <w:sz w:val="30"/>
      <w:szCs w:val="30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Lukekeane@hot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8v/C8bt52Iynk/38EYKkh7JbSw==">CgMxLjAyCGguZ2pkZ3hzOAByITFJYkYzOVdCblJSdC0wOUZUdTNCMmp4T2w1NXZlQ0FXZg==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2023-12-08T11:01:00Z</dcterms:created>
  <dc:creator>Tara Brady</dc:creator>
</cp:coreProperties>
</file>