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19" w:rsidRDefault="00C31419" w:rsidP="00C314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31419" w:rsidTr="000A15A6">
        <w:tc>
          <w:tcPr>
            <w:tcW w:w="4621" w:type="dxa"/>
          </w:tcPr>
          <w:p w:rsidR="00C31419" w:rsidRPr="00C31419" w:rsidRDefault="00C31419" w:rsidP="00C3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Niall Guinan</w:t>
            </w:r>
          </w:p>
        </w:tc>
      </w:tr>
      <w:tr w:rsidR="00C31419" w:rsidTr="000A15A6"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19" w:rsidTr="000A15A6">
        <w:tc>
          <w:tcPr>
            <w:tcW w:w="4621" w:type="dxa"/>
          </w:tcPr>
          <w:p w:rsidR="00C31419" w:rsidRPr="00C31419" w:rsidRDefault="00C31419" w:rsidP="00C3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 Address:</w:t>
            </w:r>
          </w:p>
        </w:tc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Bloomfield Drive,</w:t>
            </w:r>
          </w:p>
        </w:tc>
      </w:tr>
      <w:tr w:rsidR="00C31419" w:rsidTr="000A15A6"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Coosan,</w:t>
            </w:r>
          </w:p>
        </w:tc>
      </w:tr>
      <w:tr w:rsidR="00C31419" w:rsidTr="000A15A6"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Athlone,</w:t>
            </w:r>
          </w:p>
        </w:tc>
      </w:tr>
      <w:tr w:rsidR="00C31419" w:rsidTr="000A15A6"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Co. Westmeath.</w:t>
            </w:r>
          </w:p>
        </w:tc>
      </w:tr>
      <w:tr w:rsidR="00C31419" w:rsidTr="000A15A6"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C31419" w:rsidRDefault="00C31419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19" w:rsidTr="000A15A6">
        <w:tc>
          <w:tcPr>
            <w:tcW w:w="4621" w:type="dxa"/>
          </w:tcPr>
          <w:p w:rsidR="00C31419" w:rsidRPr="000A15A6" w:rsidRDefault="000A15A6" w:rsidP="00C3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</w:tc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1993</w:t>
            </w:r>
          </w:p>
        </w:tc>
      </w:tr>
      <w:tr w:rsidR="000A15A6" w:rsidTr="000A15A6"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A6" w:rsidTr="000A15A6"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</w:tc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0876464067</w:t>
            </w:r>
          </w:p>
        </w:tc>
      </w:tr>
      <w:tr w:rsidR="000A15A6" w:rsidTr="000A15A6"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A6" w:rsidTr="000A15A6"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4621" w:type="dxa"/>
          </w:tcPr>
          <w:p w:rsidR="000A15A6" w:rsidRDefault="000A15A6" w:rsidP="00C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guinann@tcd.ie</w:t>
            </w:r>
          </w:p>
        </w:tc>
      </w:tr>
    </w:tbl>
    <w:p w:rsidR="00C31419" w:rsidRDefault="00C31419" w:rsidP="00C31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A6" w:rsidRDefault="000A15A6" w:rsidP="00C314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0A15A6" w:rsidRPr="000A15A6" w:rsidRDefault="000A15A6" w:rsidP="00C31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2005 - 2011</w:t>
      </w:r>
    </w:p>
    <w:p w:rsidR="000A15A6" w:rsidRDefault="000A15A6" w:rsidP="00F02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Athlone Community College,</w:t>
      </w:r>
    </w:p>
    <w:p w:rsidR="000A15A6" w:rsidRDefault="000A15A6" w:rsidP="00F02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Retreat Road,</w:t>
      </w:r>
    </w:p>
    <w:p w:rsidR="000A15A6" w:rsidRDefault="000A15A6" w:rsidP="00F02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Athlone,</w:t>
      </w:r>
    </w:p>
    <w:p w:rsidR="000A15A6" w:rsidRDefault="000A15A6" w:rsidP="00F02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Westmeath</w:t>
      </w:r>
    </w:p>
    <w:p w:rsidR="000A15A6" w:rsidRDefault="000A15A6" w:rsidP="000A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Leaving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3197"/>
        <w:gridCol w:w="3150"/>
      </w:tblGrid>
      <w:tr w:rsidR="000A15A6" w:rsidTr="000A15A6">
        <w:tc>
          <w:tcPr>
            <w:tcW w:w="2895" w:type="dxa"/>
          </w:tcPr>
          <w:p w:rsidR="000A15A6" w:rsidRDefault="000A15A6" w:rsidP="000A1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197" w:type="dxa"/>
          </w:tcPr>
          <w:p w:rsidR="000A15A6" w:rsidRDefault="000A15A6" w:rsidP="000A1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3150" w:type="dxa"/>
          </w:tcPr>
          <w:p w:rsidR="000A15A6" w:rsidRDefault="000A15A6" w:rsidP="000A1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0A15A6" w:rsidTr="000A15A6">
        <w:tc>
          <w:tcPr>
            <w:tcW w:w="2895" w:type="dxa"/>
          </w:tcPr>
          <w:p w:rsid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3197" w:type="dxa"/>
          </w:tcPr>
          <w:p w:rsidR="000A15A6" w:rsidRPr="000A15A6" w:rsidRDefault="000A15A6" w:rsidP="000A15A6">
            <w:pPr>
              <w:tabs>
                <w:tab w:val="center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0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0A15A6" w:rsidTr="000A15A6">
        <w:tc>
          <w:tcPr>
            <w:tcW w:w="2895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197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150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0A15A6" w:rsidTr="000A15A6">
        <w:tc>
          <w:tcPr>
            <w:tcW w:w="2895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197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150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0A15A6" w:rsidTr="000A15A6">
        <w:tc>
          <w:tcPr>
            <w:tcW w:w="2895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197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150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0A15A6" w:rsidTr="000A15A6">
        <w:tc>
          <w:tcPr>
            <w:tcW w:w="2895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3197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150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0A15A6" w:rsidTr="000A15A6">
        <w:tc>
          <w:tcPr>
            <w:tcW w:w="2895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3197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150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0A15A6" w:rsidTr="000A15A6">
        <w:tc>
          <w:tcPr>
            <w:tcW w:w="2895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197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150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0A15A6" w:rsidTr="000A15A6">
        <w:tc>
          <w:tcPr>
            <w:tcW w:w="2895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3197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150" w:type="dxa"/>
          </w:tcPr>
          <w:p w:rsidR="000A15A6" w:rsidRPr="000A15A6" w:rsidRDefault="000A15A6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</w:tbl>
    <w:p w:rsidR="000A15A6" w:rsidRDefault="000A15A6" w:rsidP="000A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12F" w:rsidRDefault="0066412F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successfully complete</w:t>
      </w:r>
      <w:r w:rsidR="00BD5DA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Transition Year programme at my school in 2008/2009.</w:t>
      </w:r>
    </w:p>
    <w:p w:rsidR="0066412F" w:rsidRDefault="00E23C3B" w:rsidP="00182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currently studying in the Masters in Law (LL.M) programme at Trinity College Dublin.</w:t>
      </w:r>
    </w:p>
    <w:p w:rsidR="001820AD" w:rsidRDefault="00E23C3B" w:rsidP="00182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obtained a 2.1 in my undergraduate degree in Law and Political Science (LL.B Pol. Sc.), also at Trinity College Dublin. A full transcript of my exam results throughout my degree is attached.</w:t>
      </w:r>
    </w:p>
    <w:p w:rsidR="001820AD" w:rsidRDefault="001820AD" w:rsidP="00182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sat the</w:t>
      </w:r>
      <w:r w:rsidR="00E23C3B">
        <w:rPr>
          <w:rFonts w:ascii="Times New Roman" w:hAnsi="Times New Roman" w:cs="Times New Roman"/>
          <w:sz w:val="24"/>
          <w:szCs w:val="24"/>
        </w:rPr>
        <w:t xml:space="preserve"> TCD</w:t>
      </w:r>
      <w:r>
        <w:rPr>
          <w:rFonts w:ascii="Times New Roman" w:hAnsi="Times New Roman" w:cs="Times New Roman"/>
          <w:sz w:val="24"/>
          <w:szCs w:val="24"/>
        </w:rPr>
        <w:t xml:space="preserve"> Founda</w:t>
      </w:r>
      <w:r w:rsidR="00E23C3B">
        <w:rPr>
          <w:rFonts w:ascii="Times New Roman" w:hAnsi="Times New Roman" w:cs="Times New Roman"/>
          <w:sz w:val="24"/>
          <w:szCs w:val="24"/>
        </w:rPr>
        <w:t>tion Scholarship examinations in</w:t>
      </w:r>
      <w:r>
        <w:rPr>
          <w:rFonts w:ascii="Times New Roman" w:hAnsi="Times New Roman" w:cs="Times New Roman"/>
          <w:sz w:val="24"/>
          <w:szCs w:val="24"/>
        </w:rPr>
        <w:t xml:space="preserve"> January 2013. </w:t>
      </w:r>
    </w:p>
    <w:p w:rsidR="0066412F" w:rsidRDefault="0066412F" w:rsidP="000A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Qualifications and Achiev</w:t>
      </w:r>
      <w:r w:rsidR="00D427F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ments</w:t>
      </w:r>
    </w:p>
    <w:p w:rsid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673D5">
        <w:rPr>
          <w:rFonts w:ascii="Times New Roman" w:hAnsi="Times New Roman" w:cs="Times New Roman"/>
          <w:sz w:val="24"/>
          <w:szCs w:val="24"/>
        </w:rPr>
        <w:t>have an ECDL certificate (2009).</w:t>
      </w:r>
    </w:p>
    <w:p w:rsid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</w:t>
      </w:r>
      <w:r w:rsidR="002673D5">
        <w:rPr>
          <w:rFonts w:ascii="Times New Roman" w:hAnsi="Times New Roman" w:cs="Times New Roman"/>
          <w:sz w:val="24"/>
          <w:szCs w:val="24"/>
        </w:rPr>
        <w:t xml:space="preserve">ve a </w:t>
      </w:r>
      <w:proofErr w:type="spellStart"/>
      <w:r w:rsidR="002673D5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="002673D5">
        <w:rPr>
          <w:rFonts w:ascii="Times New Roman" w:hAnsi="Times New Roman" w:cs="Times New Roman"/>
          <w:sz w:val="24"/>
          <w:szCs w:val="24"/>
        </w:rPr>
        <w:t xml:space="preserve"> Bronze award (2009).</w:t>
      </w:r>
    </w:p>
    <w:p w:rsid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have a licentiate diploma (honours) in piano with the Vi</w:t>
      </w:r>
      <w:r w:rsidR="00D83653">
        <w:rPr>
          <w:rFonts w:ascii="Times New Roman" w:hAnsi="Times New Roman" w:cs="Times New Roman"/>
          <w:sz w:val="24"/>
          <w:szCs w:val="24"/>
        </w:rPr>
        <w:t>ctoria College of M</w:t>
      </w:r>
      <w:r w:rsidR="00FF4C51">
        <w:rPr>
          <w:rFonts w:ascii="Times New Roman" w:hAnsi="Times New Roman" w:cs="Times New Roman"/>
          <w:sz w:val="24"/>
          <w:szCs w:val="24"/>
        </w:rPr>
        <w:t>usic, London and I have taught</w:t>
      </w:r>
      <w:r w:rsidR="00D83653">
        <w:rPr>
          <w:rFonts w:ascii="Times New Roman" w:hAnsi="Times New Roman" w:cs="Times New Roman"/>
          <w:sz w:val="24"/>
          <w:szCs w:val="24"/>
        </w:rPr>
        <w:t xml:space="preserve"> piano</w:t>
      </w:r>
      <w:r w:rsidR="00FF4C51">
        <w:rPr>
          <w:rFonts w:ascii="Times New Roman" w:hAnsi="Times New Roman" w:cs="Times New Roman"/>
          <w:sz w:val="24"/>
          <w:szCs w:val="24"/>
        </w:rPr>
        <w:t xml:space="preserve"> to a number of students</w:t>
      </w:r>
      <w:r>
        <w:rPr>
          <w:rFonts w:ascii="Times New Roman" w:hAnsi="Times New Roman" w:cs="Times New Roman"/>
          <w:sz w:val="24"/>
          <w:szCs w:val="24"/>
        </w:rPr>
        <w:t xml:space="preserve"> (2010)</w:t>
      </w:r>
      <w:r w:rsidR="00D83653">
        <w:rPr>
          <w:rFonts w:ascii="Times New Roman" w:hAnsi="Times New Roman" w:cs="Times New Roman"/>
          <w:sz w:val="24"/>
          <w:szCs w:val="24"/>
        </w:rPr>
        <w:t>.</w:t>
      </w:r>
    </w:p>
    <w:p w:rsidR="00D83653" w:rsidRDefault="00D8365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appointed as a Senior Prefect in my school in September 2010.</w:t>
      </w:r>
    </w:p>
    <w:p w:rsid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January 2011, I was a prize winner in the UCC Faculty of Law essay competition.</w:t>
      </w:r>
    </w:p>
    <w:p w:rsidR="00D83653" w:rsidRDefault="00D8365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May 2011, I received my school’s Academic Excellence award at our end of year awards ceremony.</w:t>
      </w:r>
    </w:p>
    <w:p w:rsidR="00BD5DAE" w:rsidRDefault="00BD5DAE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received an Entrance Exhibition award to Trinity College, Dublin in 2011 on the basis of my Leaving Certificate results.</w:t>
      </w:r>
    </w:p>
    <w:p w:rsidR="00BD5DAE" w:rsidRDefault="00BD5DAE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received the Barra Flynn Memorial Scholarship from Tormeys Solicitors in Athlone in 2011 on the basis of my Leaving Certificate results.</w:t>
      </w:r>
    </w:p>
    <w:p w:rsidR="00D427F7" w:rsidRDefault="00D427F7" w:rsidP="000A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St. Vincent’s Day Care Centre, Abbey Road, Athlone, Co. Westmeath. (November 2008)</w:t>
      </w:r>
    </w:p>
    <w:p w:rsid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the “Athlone Voice” newspaper, Sean Costello Street, Athlone, Co. Westmeath. (November 2008)</w:t>
      </w:r>
    </w:p>
    <w:p w:rsid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Experience in </w:t>
      </w:r>
      <w:r w:rsidR="00FC51D3">
        <w:rPr>
          <w:rFonts w:ascii="Times New Roman" w:hAnsi="Times New Roman" w:cs="Times New Roman"/>
          <w:sz w:val="24"/>
          <w:szCs w:val="24"/>
        </w:rPr>
        <w:t>Coosan National School, Castlequarter, Coosan, Athlone, Co. Westmeath. (February 2009)</w:t>
      </w: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Prefect in Athlone Community College, Retreat Road, Athlone, Co. Westmeath. (2010/2011)</w:t>
      </w: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Editor, Volume XXII of the Trinity College Social and Political Review. (2011/2012)</w:t>
      </w:r>
      <w:r w:rsidR="00FF4C51">
        <w:rPr>
          <w:rFonts w:ascii="Times New Roman" w:hAnsi="Times New Roman" w:cs="Times New Roman"/>
          <w:sz w:val="24"/>
          <w:szCs w:val="24"/>
        </w:rPr>
        <w:t xml:space="preserve"> Senior Editor, Volume XXV of the Trinity College Social and Political Review. (2014/2015)</w:t>
      </w:r>
    </w:p>
    <w:p w:rsidR="00FC51D3" w:rsidRDefault="001820AD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 in Hugh Campbell and Co. Solicitors, Shannon House, Costume Place,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83653">
        <w:rPr>
          <w:rFonts w:ascii="Times New Roman" w:hAnsi="Times New Roman" w:cs="Times New Roman"/>
          <w:sz w:val="24"/>
          <w:szCs w:val="24"/>
        </w:rPr>
        <w:t xml:space="preserve"> (June/July/August 2013).</w:t>
      </w:r>
    </w:p>
    <w:p w:rsidR="00E23C3B" w:rsidRDefault="00E23C3B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currently working as a caseworker with the Irish Innocence Project based in Griffith College Dublin which involves investigating possible cases of wrongful conviction and miscarriages of justice.</w:t>
      </w:r>
    </w:p>
    <w:p w:rsidR="00FF4C51" w:rsidRDefault="00FF4C51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volunteered with Amnesty International. I have also volunteered with the Trinity branch of the Free Legal Advice Centre</w:t>
      </w:r>
      <w:r w:rsidR="00F02E72">
        <w:rPr>
          <w:rFonts w:ascii="Times New Roman" w:hAnsi="Times New Roman" w:cs="Times New Roman"/>
          <w:sz w:val="24"/>
          <w:szCs w:val="24"/>
        </w:rPr>
        <w:t xml:space="preserve"> (FLAC)</w:t>
      </w:r>
      <w:r>
        <w:rPr>
          <w:rFonts w:ascii="Times New Roman" w:hAnsi="Times New Roman" w:cs="Times New Roman"/>
          <w:sz w:val="24"/>
          <w:szCs w:val="24"/>
        </w:rPr>
        <w:t xml:space="preserve">, in particular with the transgender rights research project of 2015. In addition, I volunteer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provides anti-homophobic bullying workshops in Irish schools.</w:t>
      </w:r>
      <w:r w:rsidR="003E55F5">
        <w:rPr>
          <w:rFonts w:ascii="Times New Roman" w:hAnsi="Times New Roman" w:cs="Times New Roman"/>
          <w:sz w:val="24"/>
          <w:szCs w:val="24"/>
        </w:rPr>
        <w:t xml:space="preserve"> I have spoken at debates with the TCD University Philosophical Society.</w:t>
      </w:r>
    </w:p>
    <w:p w:rsidR="00FF4C51" w:rsidRDefault="00FF4C51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an active member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Qsoc</w:t>
      </w:r>
      <w:proofErr w:type="spellEnd"/>
      <w:r>
        <w:rPr>
          <w:rFonts w:ascii="Times New Roman" w:hAnsi="Times New Roman" w:cs="Times New Roman"/>
          <w:sz w:val="24"/>
          <w:szCs w:val="24"/>
        </w:rPr>
        <w:t>-Trinity LGBT throughout my time as an undergraduate and have been on their campaigns team since my first year. I have helped organise particular campaigns r</w:t>
      </w:r>
      <w:r w:rsidR="00F02E72">
        <w:rPr>
          <w:rFonts w:ascii="Times New Roman" w:hAnsi="Times New Roman" w:cs="Times New Roman"/>
          <w:sz w:val="24"/>
          <w:szCs w:val="24"/>
        </w:rPr>
        <w:t>elated to marriage and assisted in designing</w:t>
      </w:r>
      <w:r>
        <w:rPr>
          <w:rFonts w:ascii="Times New Roman" w:hAnsi="Times New Roman" w:cs="Times New Roman"/>
          <w:sz w:val="24"/>
          <w:szCs w:val="24"/>
        </w:rPr>
        <w:t xml:space="preserve"> leaflets and posters to raise awareness of transgender issues. </w:t>
      </w:r>
    </w:p>
    <w:p w:rsidR="00FF4C51" w:rsidRDefault="00FF4C51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also been an active member of Young Fine Gael, particularly the Trinity branch as a committee member in my third year but also in the wider organisation. </w:t>
      </w:r>
      <w:r w:rsidR="00F02E72">
        <w:rPr>
          <w:rFonts w:ascii="Times New Roman" w:hAnsi="Times New Roman" w:cs="Times New Roman"/>
          <w:sz w:val="24"/>
          <w:szCs w:val="24"/>
        </w:rPr>
        <w:t xml:space="preserve">I have done some </w:t>
      </w:r>
      <w:r w:rsidR="00F02E72">
        <w:rPr>
          <w:rFonts w:ascii="Times New Roman" w:hAnsi="Times New Roman" w:cs="Times New Roman"/>
          <w:sz w:val="24"/>
          <w:szCs w:val="24"/>
        </w:rPr>
        <w:lastRenderedPageBreak/>
        <w:t>work for local and European election candid</w:t>
      </w:r>
      <w:r w:rsidR="00E23C3B">
        <w:rPr>
          <w:rFonts w:ascii="Times New Roman" w:hAnsi="Times New Roman" w:cs="Times New Roman"/>
          <w:sz w:val="24"/>
          <w:szCs w:val="24"/>
        </w:rPr>
        <w:t>ates and was actively involved in the marriage referendum campaign in May 2015.</w:t>
      </w:r>
    </w:p>
    <w:p w:rsidR="00F02E72" w:rsidRDefault="00F02E72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written a</w:t>
      </w:r>
      <w:r w:rsidR="002673D5">
        <w:rPr>
          <w:rFonts w:ascii="Times New Roman" w:hAnsi="Times New Roman" w:cs="Times New Roman"/>
          <w:sz w:val="24"/>
          <w:szCs w:val="24"/>
        </w:rPr>
        <w:t xml:space="preserve">rticles for </w:t>
      </w:r>
      <w:r w:rsidR="002673D5">
        <w:rPr>
          <w:rFonts w:ascii="Times New Roman" w:hAnsi="Times New Roman" w:cs="Times New Roman"/>
          <w:i/>
          <w:sz w:val="24"/>
          <w:szCs w:val="24"/>
        </w:rPr>
        <w:t>The</w:t>
      </w:r>
      <w:r w:rsidR="002673D5">
        <w:rPr>
          <w:rFonts w:ascii="Times New Roman" w:hAnsi="Times New Roman" w:cs="Times New Roman"/>
          <w:sz w:val="24"/>
          <w:szCs w:val="24"/>
        </w:rPr>
        <w:t xml:space="preserve"> </w:t>
      </w:r>
      <w:r w:rsidR="002673D5">
        <w:rPr>
          <w:rFonts w:ascii="Times New Roman" w:hAnsi="Times New Roman" w:cs="Times New Roman"/>
          <w:i/>
          <w:sz w:val="24"/>
          <w:szCs w:val="24"/>
        </w:rPr>
        <w:t>University Times</w:t>
      </w:r>
      <w:r w:rsidR="002673D5">
        <w:rPr>
          <w:rFonts w:ascii="Times New Roman" w:hAnsi="Times New Roman" w:cs="Times New Roman"/>
          <w:sz w:val="24"/>
          <w:szCs w:val="24"/>
        </w:rPr>
        <w:t xml:space="preserve"> and for </w:t>
      </w:r>
      <w:r w:rsidR="002673D5">
        <w:rPr>
          <w:rFonts w:ascii="Times New Roman" w:hAnsi="Times New Roman" w:cs="Times New Roman"/>
          <w:i/>
          <w:sz w:val="24"/>
          <w:szCs w:val="24"/>
        </w:rPr>
        <w:t xml:space="preserve">The Irish </w:t>
      </w:r>
      <w:proofErr w:type="gramStart"/>
      <w:r w:rsidR="002673D5">
        <w:rPr>
          <w:rFonts w:ascii="Times New Roman" w:hAnsi="Times New Roman" w:cs="Times New Roman"/>
          <w:i/>
          <w:sz w:val="24"/>
          <w:szCs w:val="24"/>
        </w:rPr>
        <w:t>Catholic</w:t>
      </w:r>
      <w:r w:rsidR="00267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well as written contributions to literature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Qsoc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-Trinity LGBT and for FLAC. </w:t>
      </w:r>
    </w:p>
    <w:p w:rsidR="00F02E72" w:rsidRPr="00FF4C51" w:rsidRDefault="00F02E72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4960C9" w:rsidP="000A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4960C9" w:rsidRPr="000F1C10" w:rsidRDefault="004960C9" w:rsidP="00496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Bacik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Coordinator of the Law and Political Science Degree Programme, School of Law, Trinity College Dublin, </w:t>
      </w:r>
      <w:hyperlink r:id="rId5" w:history="1">
        <w:r w:rsidRPr="00300558">
          <w:rPr>
            <w:rStyle w:val="Hyperlink"/>
            <w:rFonts w:ascii="Times New Roman" w:hAnsi="Times New Roman" w:cs="Times New Roman"/>
            <w:sz w:val="24"/>
            <w:szCs w:val="24"/>
          </w:rPr>
          <w:t>icbacik@tcd.ie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Eileen Donohoe, Principal,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Community College, Retreat Road, Athlone, Co. Westmeath. 0906472625 </w:t>
      </w:r>
      <w:hyperlink r:id="rId6" w:history="1">
        <w:r w:rsidRPr="00AE0835">
          <w:rPr>
            <w:rStyle w:val="Hyperlink"/>
            <w:rFonts w:ascii="Times New Roman" w:hAnsi="Times New Roman" w:cs="Times New Roman"/>
            <w:sz w:val="24"/>
            <w:szCs w:val="24"/>
          </w:rPr>
          <w:t>info@athlonecc.ie</w:t>
        </w:r>
      </w:hyperlink>
      <w:r w:rsidR="00BD5DAE">
        <w:rPr>
          <w:rFonts w:ascii="Times New Roman" w:hAnsi="Times New Roman" w:cs="Times New Roman"/>
          <w:sz w:val="24"/>
          <w:szCs w:val="24"/>
        </w:rPr>
        <w:t>.</w:t>
      </w:r>
      <w:r w:rsidR="00D836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83653">
        <w:rPr>
          <w:rFonts w:ascii="Times New Roman" w:hAnsi="Times New Roman" w:cs="Times New Roman"/>
          <w:sz w:val="24"/>
          <w:szCs w:val="24"/>
        </w:rPr>
        <w:t>attached</w:t>
      </w:r>
      <w:proofErr w:type="gramEnd"/>
      <w:r w:rsidR="00D83653">
        <w:rPr>
          <w:rFonts w:ascii="Times New Roman" w:hAnsi="Times New Roman" w:cs="Times New Roman"/>
          <w:sz w:val="24"/>
          <w:szCs w:val="24"/>
        </w:rPr>
        <w:t>)</w:t>
      </w:r>
    </w:p>
    <w:p w:rsidR="00D8365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Flood, Editor-in-chief, Volume XXII, TCD Social and Political Review. </w:t>
      </w:r>
      <w:hyperlink r:id="rId7" w:history="1">
        <w:r w:rsidRPr="00AE0835">
          <w:rPr>
            <w:rStyle w:val="Hyperlink"/>
            <w:rFonts w:ascii="Times New Roman" w:hAnsi="Times New Roman" w:cs="Times New Roman"/>
            <w:sz w:val="24"/>
            <w:szCs w:val="24"/>
          </w:rPr>
          <w:t>floodcb@tcd.ie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1820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820AD">
        <w:rPr>
          <w:rFonts w:ascii="Times New Roman" w:hAnsi="Times New Roman" w:cs="Times New Roman"/>
          <w:sz w:val="24"/>
          <w:szCs w:val="24"/>
        </w:rPr>
        <w:t>attached</w:t>
      </w:r>
      <w:proofErr w:type="gramEnd"/>
      <w:r w:rsidR="001820AD">
        <w:rPr>
          <w:rFonts w:ascii="Times New Roman" w:hAnsi="Times New Roman" w:cs="Times New Roman"/>
          <w:sz w:val="24"/>
          <w:szCs w:val="24"/>
        </w:rPr>
        <w:t>).</w:t>
      </w:r>
    </w:p>
    <w:p w:rsidR="00F02E72" w:rsidRDefault="00F02E72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Hugh J Campbell, Hugh J Campbell and Co. Solicitors, Shannon House, Costume Place,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>
        <w:rPr>
          <w:rFonts w:ascii="Times New Roman" w:hAnsi="Times New Roman" w:cs="Times New Roman"/>
          <w:sz w:val="24"/>
          <w:szCs w:val="24"/>
        </w:rPr>
        <w:t>, Co. Westmeath, 0906472015.</w:t>
      </w:r>
    </w:p>
    <w:p w:rsidR="002673D5" w:rsidRDefault="002673D5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60C9" w:rsidRDefault="002673D5" w:rsidP="002673D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Signed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______________________</w:t>
      </w:r>
      <w:r w:rsidRPr="002673D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673D5" w:rsidRDefault="004960C9" w:rsidP="002673D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Niall Guinan</w:t>
      </w:r>
      <w:bookmarkStart w:id="0" w:name="_GoBack"/>
      <w:bookmarkEnd w:id="0"/>
      <w:r w:rsidR="002673D5" w:rsidRPr="002673D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73D5" w:rsidRPr="002673D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73D5" w:rsidRPr="002673D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73D5" w:rsidRPr="002673D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73D5" w:rsidRPr="002673D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73D5" w:rsidRPr="002673D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06A86" w:rsidRDefault="002673D5" w:rsidP="002673D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3D5">
        <w:rPr>
          <w:rFonts w:ascii="Times New Roman" w:hAnsi="Times New Roman" w:cs="Times New Roman"/>
          <w:sz w:val="24"/>
          <w:szCs w:val="24"/>
          <w:lang w:val="en-GB"/>
        </w:rPr>
        <w:t>Date:</w:t>
      </w:r>
      <w:r w:rsidR="00206A86">
        <w:rPr>
          <w:rFonts w:ascii="Times New Roman" w:hAnsi="Times New Roman" w:cs="Times New Roman"/>
          <w:sz w:val="24"/>
          <w:szCs w:val="24"/>
          <w:lang w:val="en-GB"/>
        </w:rPr>
        <w:t xml:space="preserve"> 14</w:t>
      </w:r>
      <w:r w:rsidR="00206A86" w:rsidRPr="00206A8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206A86">
        <w:rPr>
          <w:rFonts w:ascii="Times New Roman" w:hAnsi="Times New Roman" w:cs="Times New Roman"/>
          <w:sz w:val="24"/>
          <w:szCs w:val="24"/>
          <w:lang w:val="en-GB"/>
        </w:rPr>
        <w:t xml:space="preserve"> October</w:t>
      </w:r>
      <w:r>
        <w:rPr>
          <w:rFonts w:ascii="Times New Roman" w:hAnsi="Times New Roman" w:cs="Times New Roman"/>
          <w:sz w:val="24"/>
          <w:szCs w:val="24"/>
          <w:lang w:val="en-GB"/>
        </w:rPr>
        <w:t>, 2015.</w:t>
      </w:r>
    </w:p>
    <w:p w:rsidR="00206A86" w:rsidRDefault="00206A8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2673D5" w:rsidRPr="002673D5" w:rsidRDefault="00206A86" w:rsidP="002673D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CB90C88" wp14:editId="098B142F">
            <wp:extent cx="7998296" cy="5603240"/>
            <wp:effectExtent l="0" t="2857" r="317" b="31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6419" cy="561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3D5" w:rsidRDefault="002673D5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DE3" w:rsidRDefault="003B7DE3" w:rsidP="0020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E72" w:rsidRDefault="00206A86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35E299BE" wp14:editId="5130D834">
            <wp:extent cx="5731510" cy="7868920"/>
            <wp:effectExtent l="0" t="0" r="2540" b="0"/>
            <wp:docPr id="1" name="Picture 1" descr="E:\reference from ACC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ference from ACC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53" w:rsidRDefault="00D83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3653" w:rsidRDefault="00D8365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653" w:rsidRDefault="00D8365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653" w:rsidRDefault="00D8365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653" w:rsidRDefault="00D8365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653" w:rsidRPr="00A80518" w:rsidRDefault="00D83653" w:rsidP="00D83653">
      <w:pPr>
        <w:spacing w:line="360" w:lineRule="auto"/>
        <w:jc w:val="right"/>
        <w:rPr>
          <w:rFonts w:ascii="Garamond" w:hAnsi="Garamond"/>
          <w:sz w:val="24"/>
          <w:szCs w:val="24"/>
        </w:rPr>
      </w:pPr>
      <w:r w:rsidRPr="00A80518">
        <w:rPr>
          <w:rFonts w:ascii="Garamond" w:hAnsi="Garamond"/>
          <w:sz w:val="24"/>
          <w:szCs w:val="24"/>
        </w:rPr>
        <w:t>13 May 2012</w:t>
      </w:r>
    </w:p>
    <w:p w:rsidR="00D83653" w:rsidRPr="00A80518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83653" w:rsidRPr="00A80518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80518">
        <w:rPr>
          <w:rFonts w:ascii="Garamond" w:hAnsi="Garamond"/>
          <w:sz w:val="24"/>
          <w:szCs w:val="24"/>
        </w:rPr>
        <w:t>To whom it may concern,</w:t>
      </w:r>
    </w:p>
    <w:p w:rsidR="00D83653" w:rsidRPr="00A80518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83653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80518">
        <w:rPr>
          <w:rFonts w:ascii="Garamond" w:hAnsi="Garamond"/>
          <w:sz w:val="24"/>
          <w:szCs w:val="24"/>
        </w:rPr>
        <w:t xml:space="preserve">I am a third-year law student at Trinity College, Dublin. I was Editor-in-Chief of Volume XXII of the </w:t>
      </w:r>
      <w:r w:rsidRPr="00A80518">
        <w:rPr>
          <w:rFonts w:ascii="Garamond" w:hAnsi="Garamond"/>
          <w:i/>
          <w:sz w:val="24"/>
          <w:szCs w:val="24"/>
        </w:rPr>
        <w:t>Social and Political Review</w:t>
      </w:r>
      <w:r w:rsidRPr="00A80518">
        <w:rPr>
          <w:rFonts w:ascii="Garamond" w:hAnsi="Garamond"/>
          <w:sz w:val="24"/>
          <w:szCs w:val="24"/>
        </w:rPr>
        <w:t xml:space="preserve">, an academic journal at Trinity College, focused on the social and political sciences. Niall was a member of the Junior Editorial Board of Volume XXII. </w:t>
      </w:r>
    </w:p>
    <w:p w:rsidR="00D83653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83653" w:rsidRPr="00A80518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80518">
        <w:rPr>
          <w:rFonts w:ascii="Garamond" w:hAnsi="Garamond"/>
          <w:sz w:val="24"/>
          <w:szCs w:val="24"/>
        </w:rPr>
        <w:t>Niall’s responsibilities included assessing and selecting articles for publication, editing academic articles, liaising with authors, and participating</w:t>
      </w:r>
      <w:r>
        <w:rPr>
          <w:rFonts w:ascii="Garamond" w:hAnsi="Garamond"/>
          <w:sz w:val="24"/>
          <w:szCs w:val="24"/>
        </w:rPr>
        <w:t xml:space="preserve"> with the rest of the</w:t>
      </w:r>
      <w:r w:rsidRPr="00A80518">
        <w:rPr>
          <w:rFonts w:ascii="Garamond" w:hAnsi="Garamond"/>
          <w:sz w:val="24"/>
          <w:szCs w:val="24"/>
        </w:rPr>
        <w:t xml:space="preserve"> team in the general running of the journal and organisation of even</w:t>
      </w:r>
      <w:r>
        <w:rPr>
          <w:rFonts w:ascii="Garamond" w:hAnsi="Garamond"/>
          <w:sz w:val="24"/>
          <w:szCs w:val="24"/>
        </w:rPr>
        <w:t xml:space="preserve">ts, including the annual SPR Panel, which this year took the theme of ‘Changing Ireland: Shaping Our Future,’ and </w:t>
      </w:r>
      <w:r w:rsidRPr="00A80518">
        <w:rPr>
          <w:rFonts w:ascii="Garamond" w:hAnsi="Garamond"/>
          <w:sz w:val="24"/>
          <w:szCs w:val="24"/>
        </w:rPr>
        <w:t>featured experts such as Professor Gerry Whyte (TCD), Noelle O’Connell (European Movement Ireland), Michael Barron (</w:t>
      </w:r>
      <w:proofErr w:type="spellStart"/>
      <w:r w:rsidRPr="00A80518">
        <w:rPr>
          <w:rFonts w:ascii="Garamond" w:hAnsi="Garamond"/>
          <w:sz w:val="24"/>
          <w:szCs w:val="24"/>
        </w:rPr>
        <w:t>BeLonG</w:t>
      </w:r>
      <w:proofErr w:type="spellEnd"/>
      <w:r w:rsidRPr="00A80518">
        <w:rPr>
          <w:rFonts w:ascii="Garamond" w:hAnsi="Garamond"/>
          <w:sz w:val="24"/>
          <w:szCs w:val="24"/>
        </w:rPr>
        <w:t xml:space="preserve"> To) and Brian Whiteside (Humanist Association of Ireland).  </w:t>
      </w:r>
    </w:p>
    <w:p w:rsidR="00D83653" w:rsidRPr="00A80518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83653" w:rsidRPr="00A80518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80518">
        <w:rPr>
          <w:rFonts w:ascii="Garamond" w:hAnsi="Garamond"/>
          <w:sz w:val="24"/>
          <w:szCs w:val="24"/>
        </w:rPr>
        <w:t>I found Niall to be an extremely competent editor. He completed all of the tasks assigned to him in a professional manner</w:t>
      </w:r>
      <w:r>
        <w:rPr>
          <w:rFonts w:ascii="Garamond" w:hAnsi="Garamond"/>
          <w:sz w:val="24"/>
          <w:szCs w:val="24"/>
        </w:rPr>
        <w:t>, adhered to strict deadlines, and produced work of excellent quality</w:t>
      </w:r>
      <w:r w:rsidRPr="00A80518">
        <w:rPr>
          <w:rFonts w:ascii="Garamond" w:hAnsi="Garamond"/>
          <w:sz w:val="24"/>
          <w:szCs w:val="24"/>
        </w:rPr>
        <w:t xml:space="preserve">. Niall </w:t>
      </w:r>
      <w:r>
        <w:rPr>
          <w:rFonts w:ascii="Garamond" w:hAnsi="Garamond"/>
          <w:sz w:val="24"/>
          <w:szCs w:val="24"/>
        </w:rPr>
        <w:t>was an integral part of the team. He worked</w:t>
      </w:r>
      <w:r w:rsidRPr="00A80518">
        <w:rPr>
          <w:rFonts w:ascii="Garamond" w:hAnsi="Garamond"/>
          <w:sz w:val="24"/>
          <w:szCs w:val="24"/>
        </w:rPr>
        <w:t xml:space="preserve"> ver</w:t>
      </w:r>
      <w:r>
        <w:rPr>
          <w:rFonts w:ascii="Garamond" w:hAnsi="Garamond"/>
          <w:sz w:val="24"/>
          <w:szCs w:val="24"/>
        </w:rPr>
        <w:t>y well with other board members</w:t>
      </w:r>
      <w:r w:rsidRPr="00A80518">
        <w:rPr>
          <w:rFonts w:ascii="Garamond" w:hAnsi="Garamond"/>
          <w:sz w:val="24"/>
          <w:szCs w:val="24"/>
        </w:rPr>
        <w:t>, and was able to both follow direction and work independently. I believe Niall would be an excellent addition to an</w:t>
      </w:r>
      <w:r>
        <w:rPr>
          <w:rFonts w:ascii="Garamond" w:hAnsi="Garamond"/>
          <w:sz w:val="24"/>
          <w:szCs w:val="24"/>
        </w:rPr>
        <w:t>y organisation</w:t>
      </w:r>
      <w:r w:rsidRPr="00A80518">
        <w:rPr>
          <w:rFonts w:ascii="Garamond" w:hAnsi="Garamond"/>
          <w:sz w:val="24"/>
          <w:szCs w:val="24"/>
        </w:rPr>
        <w:t xml:space="preserve"> and I have no hesitation in recommending him for this position. </w:t>
      </w:r>
    </w:p>
    <w:p w:rsidR="00D83653" w:rsidRPr="00A80518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83653" w:rsidRPr="00A80518" w:rsidRDefault="00D83653" w:rsidP="00D8365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80518">
        <w:rPr>
          <w:rFonts w:ascii="Garamond" w:hAnsi="Garamond"/>
          <w:sz w:val="24"/>
          <w:szCs w:val="24"/>
        </w:rPr>
        <w:t>With best wishes,</w:t>
      </w:r>
    </w:p>
    <w:p w:rsidR="00FC51D3" w:rsidRPr="003B7DE3" w:rsidRDefault="00D83653" w:rsidP="003B7DE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80518">
        <w:rPr>
          <w:rFonts w:ascii="Garamond" w:hAnsi="Garamond"/>
          <w:sz w:val="24"/>
          <w:szCs w:val="24"/>
        </w:rPr>
        <w:t xml:space="preserve">Chris Flood </w:t>
      </w: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3" w:rsidRPr="00FC51D3" w:rsidRDefault="00FC51D3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7F7" w:rsidRP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7F7" w:rsidRPr="00D427F7" w:rsidRDefault="00D427F7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12F" w:rsidRPr="0066412F" w:rsidRDefault="0066412F" w:rsidP="000A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6412F" w:rsidRPr="0066412F" w:rsidSect="00C31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19"/>
    <w:rsid w:val="000A15A6"/>
    <w:rsid w:val="000F2081"/>
    <w:rsid w:val="001820AD"/>
    <w:rsid w:val="00206A86"/>
    <w:rsid w:val="00223932"/>
    <w:rsid w:val="002673D5"/>
    <w:rsid w:val="00376EE6"/>
    <w:rsid w:val="003B7DE3"/>
    <w:rsid w:val="003E55F5"/>
    <w:rsid w:val="004960C9"/>
    <w:rsid w:val="00552F81"/>
    <w:rsid w:val="0066412F"/>
    <w:rsid w:val="007059BE"/>
    <w:rsid w:val="00BD5DAE"/>
    <w:rsid w:val="00C31419"/>
    <w:rsid w:val="00D427F7"/>
    <w:rsid w:val="00D83653"/>
    <w:rsid w:val="00E23C3B"/>
    <w:rsid w:val="00F02E72"/>
    <w:rsid w:val="00FC51D3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519E7-4A45-4064-A343-2F27D24B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51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loodcb@tc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thlonecc.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cbacik@tcd.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FA9A-2681-4C37-A21C-04DFB85A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niallguinan</dc:creator>
  <cp:lastModifiedBy>Niall Guinan</cp:lastModifiedBy>
  <cp:revision>13</cp:revision>
  <cp:lastPrinted>2013-06-04T19:06:00Z</cp:lastPrinted>
  <dcterms:created xsi:type="dcterms:W3CDTF">2012-09-29T19:56:00Z</dcterms:created>
  <dcterms:modified xsi:type="dcterms:W3CDTF">2015-10-20T16:15:00Z</dcterms:modified>
</cp:coreProperties>
</file>