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8B65A4" w:rsidP="00F4379C">
      <w:pPr>
        <w:pStyle w:val="Body"/>
      </w:pPr>
      <w:r>
        <w:t>TEST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A4" w:rsidRDefault="008B65A4" w:rsidP="009160F3">
      <w:r>
        <w:separator/>
      </w:r>
    </w:p>
  </w:endnote>
  <w:endnote w:type="continuationSeparator" w:id="0">
    <w:p w:rsidR="008B65A4" w:rsidRDefault="008B65A4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8B65A4">
        <w:t>20635499.1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B65A4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A4" w:rsidRDefault="008B65A4" w:rsidP="009160F3">
      <w:r>
        <w:separator/>
      </w:r>
    </w:p>
  </w:footnote>
  <w:footnote w:type="continuationSeparator" w:id="0">
    <w:p w:rsidR="008B65A4" w:rsidRDefault="008B65A4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8B65A4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23D28DDA-6A55-40CE-812F-4709A3E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5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A4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8B65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A4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7AA9E-6F5A-403A-9E40-FEA48FD4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Dinn</dc:creator>
  <cp:keywords/>
  <dc:description/>
  <cp:lastModifiedBy>Tori Dinn</cp:lastModifiedBy>
  <cp:revision>1</cp:revision>
  <dcterms:created xsi:type="dcterms:W3CDTF">2022-07-15T15:59:00Z</dcterms:created>
  <dcterms:modified xsi:type="dcterms:W3CDTF">2022-07-15T16:01:00Z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20635499.1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