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Claire Bulman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91, Hollybank Road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Drumcondra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Dublin 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Dear Sir/Madam,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My name is Claire Bulman and I am writing to express my interest in the ByrneWallace Summer Intern Programme 2016. I am a final year Law and French student at Trinity College Dublin; I am due to graduate with a predicted 2.1 degree in May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As one of Ireland’s leading law firms, ByrneWallace is involved in deals and transactions which have the potential to change the economic, business and political landscape. Having met ByrneWallace solicitors at a recent Trinity College careers evening, and as part of my work with FLAC, I had the opportunity to learn more about the firm’s work and its high-profile clients. These are some of the factors which are most appealing to me as a candidate for the Intern Programme. However, it is not simply the prestige associated with working for a large corporate law firm which has attracted me to ByrneWallace. The firm stands out to me as against its competitors for its diverse range of practice areas, and the award-winning work it does in these area, as well as its genuine dedication to technology and innovation. The opportunity to be involved in this kind of work is an exciting prospect. It is clear that ByrneWallace’s Summer Intern Programme emphasises a high level of engagement by interns on its legal projects on a day-to-day basis. Having the opportunity to make a tangible contribution in this way would be extremely rewarding.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I spent a month at Finbarr A. Murphy &amp; Co. as part of my Transition Year work experience programme in 2010. My role entailed shadowing and assisting its solicitors and, as such, I gained an invaluable insight into the day-to-day workings of a law firm. More recently, I have taken on the role of Volunteer Assistant at the weekly Prussia Street FLAC clinic. This role involves sitting in on meetings between the clinic’s Advisor and those who call in, as well as taking record of these meeting and the legal issues arising therein for official purposes. My experience in these roles has allowed me to fill in the gaps between my legal studies and the reality of legal practice. Being selected to take part in the Internship Programme would allow me to develop this further by gaining a greater insight into my desired career path of corporate law. In addition, I have spent the last four summers employed at An Post, which has contributed to my strong work ethic and to my experience and skill in working as part of a team. I spent the third year of my degree studying abroad at Sciences Po, Paris. As one of France’s most prestigious universities, I took on an academically rigorous workload from which I gained a deeper understanding of the broader social, political and economic context in which the legal world is situated.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In my spare time, I have participated in numerous public speaking competitions, notably reaching the quarter-final stage of the Trinity College Law Society’s Mock Trial Competition. From this, I have developed a diligent approach to work and an ability to think on my feet. I volunteered at the Web Summit this November as part of the Operations team, where I gained exposure and insight into an increasingly influential industry, and one which is relevant to the work which ByrneWallace engages 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Should I be chosen to participate in the ByrneWallace Summer Intern Programme, I would hope that this experience would cement my desire to pursue a career as a corporate solicitor and, crucially, enrich my perspective as to what this actually means. As I ultimately hope to complete a traineeship with the firm, the ByrneWallace Summer Intern Programme would be the ideal first step on this path.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Thank you for your consideration,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Claire Bulman</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