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2B3A" w14:textId="77777777" w:rsidR="00167FD9" w:rsidRPr="00342C72" w:rsidRDefault="00167FD9" w:rsidP="00167FD9">
      <w:pPr>
        <w:widowControl w:val="0"/>
        <w:tabs>
          <w:tab w:val="left" w:pos="2913"/>
        </w:tabs>
        <w:autoSpaceDE w:val="0"/>
        <w:autoSpaceDN w:val="0"/>
        <w:adjustRightInd w:val="0"/>
        <w:rPr>
          <w:sz w:val="20"/>
          <w:szCs w:val="20"/>
          <w:lang w:val="en-CA"/>
        </w:rPr>
      </w:pPr>
      <w:r w:rsidRPr="00342C72">
        <w:rPr>
          <w:b/>
          <w:bCs/>
          <w:sz w:val="32"/>
          <w:szCs w:val="32"/>
          <w:lang w:val="en-CA"/>
        </w:rPr>
        <w:t xml:space="preserve">Róisín O’Donoghue </w:t>
      </w:r>
    </w:p>
    <w:p w14:paraId="52F61022" w14:textId="77777777" w:rsidR="00167FD9" w:rsidRPr="00342C72" w:rsidRDefault="00167FD9" w:rsidP="00167FD9">
      <w:pPr>
        <w:widowControl w:val="0"/>
        <w:autoSpaceDE w:val="0"/>
        <w:autoSpaceDN w:val="0"/>
        <w:adjustRightInd w:val="0"/>
        <w:jc w:val="both"/>
        <w:rPr>
          <w:sz w:val="19"/>
          <w:szCs w:val="19"/>
          <w:lang w:val="en-CA"/>
        </w:rPr>
      </w:pPr>
      <w:r w:rsidRPr="00342C72">
        <w:rPr>
          <w:sz w:val="19"/>
          <w:szCs w:val="19"/>
          <w:lang w:val="en-CA"/>
        </w:rPr>
        <w:t xml:space="preserve">352 Griffith Avenue, Dublin 9. </w:t>
      </w:r>
    </w:p>
    <w:p w14:paraId="44D5CDCE" w14:textId="77777777" w:rsidR="00167FD9" w:rsidRPr="00342C72" w:rsidRDefault="00167FD9" w:rsidP="00167FD9">
      <w:pPr>
        <w:widowControl w:val="0"/>
        <w:autoSpaceDE w:val="0"/>
        <w:autoSpaceDN w:val="0"/>
        <w:adjustRightInd w:val="0"/>
        <w:jc w:val="both"/>
        <w:rPr>
          <w:sz w:val="19"/>
          <w:szCs w:val="19"/>
          <w:lang w:val="en-CA"/>
        </w:rPr>
      </w:pPr>
    </w:p>
    <w:tbl>
      <w:tblPr>
        <w:tblW w:w="9072" w:type="dxa"/>
        <w:tblLayout w:type="fixed"/>
        <w:tblCellMar>
          <w:left w:w="0" w:type="dxa"/>
          <w:right w:w="0" w:type="dxa"/>
        </w:tblCellMar>
        <w:tblLook w:val="0000" w:firstRow="0" w:lastRow="0" w:firstColumn="0" w:lastColumn="0" w:noHBand="0" w:noVBand="0"/>
      </w:tblPr>
      <w:tblGrid>
        <w:gridCol w:w="1985"/>
        <w:gridCol w:w="7087"/>
      </w:tblGrid>
      <w:tr w:rsidR="00167FD9" w:rsidRPr="00342C72" w14:paraId="07A7DDFD" w14:textId="77777777" w:rsidTr="00AB1023">
        <w:trPr>
          <w:trHeight w:val="100"/>
        </w:trPr>
        <w:tc>
          <w:tcPr>
            <w:tcW w:w="1985" w:type="dxa"/>
            <w:tcBorders>
              <w:top w:val="nil"/>
              <w:left w:val="nil"/>
              <w:bottom w:val="nil"/>
              <w:right w:val="nil"/>
            </w:tcBorders>
          </w:tcPr>
          <w:p w14:paraId="59452F6D" w14:textId="77777777" w:rsidR="00167FD9" w:rsidRPr="00342C72" w:rsidRDefault="00167FD9" w:rsidP="00AB1023">
            <w:pPr>
              <w:widowControl w:val="0"/>
              <w:autoSpaceDE w:val="0"/>
              <w:autoSpaceDN w:val="0"/>
              <w:adjustRightInd w:val="0"/>
              <w:rPr>
                <w:sz w:val="19"/>
                <w:szCs w:val="19"/>
                <w:lang w:val="en-CA"/>
              </w:rPr>
            </w:pPr>
            <w:r w:rsidRPr="00342C72">
              <w:rPr>
                <w:sz w:val="19"/>
                <w:szCs w:val="19"/>
                <w:lang w:val="en-CA"/>
              </w:rPr>
              <w:t xml:space="preserve">Mobile: </w:t>
            </w:r>
          </w:p>
        </w:tc>
        <w:tc>
          <w:tcPr>
            <w:tcW w:w="7087" w:type="dxa"/>
            <w:tcBorders>
              <w:top w:val="nil"/>
              <w:left w:val="nil"/>
              <w:bottom w:val="nil"/>
              <w:right w:val="nil"/>
            </w:tcBorders>
          </w:tcPr>
          <w:p w14:paraId="4E394F66" w14:textId="77777777" w:rsidR="00167FD9" w:rsidRPr="00342C72" w:rsidRDefault="00167FD9" w:rsidP="00AB1023">
            <w:pPr>
              <w:widowControl w:val="0"/>
              <w:autoSpaceDE w:val="0"/>
              <w:autoSpaceDN w:val="0"/>
              <w:adjustRightInd w:val="0"/>
              <w:rPr>
                <w:sz w:val="19"/>
                <w:szCs w:val="19"/>
                <w:lang w:val="en-CA"/>
              </w:rPr>
            </w:pPr>
            <w:r w:rsidRPr="00342C72">
              <w:rPr>
                <w:sz w:val="19"/>
                <w:szCs w:val="19"/>
                <w:lang w:val="en-CA"/>
              </w:rPr>
              <w:t>085 207 2247</w:t>
            </w:r>
          </w:p>
        </w:tc>
      </w:tr>
      <w:tr w:rsidR="00167FD9" w:rsidRPr="00342C72" w14:paraId="078026FA" w14:textId="77777777" w:rsidTr="00AB1023">
        <w:trPr>
          <w:trHeight w:val="100"/>
        </w:trPr>
        <w:tc>
          <w:tcPr>
            <w:tcW w:w="1985" w:type="dxa"/>
            <w:tcBorders>
              <w:top w:val="nil"/>
              <w:left w:val="nil"/>
              <w:bottom w:val="nil"/>
              <w:right w:val="nil"/>
            </w:tcBorders>
          </w:tcPr>
          <w:p w14:paraId="4DFBF5E5" w14:textId="77777777" w:rsidR="00167FD9" w:rsidRPr="00342C72" w:rsidRDefault="00167FD9" w:rsidP="00AB1023">
            <w:pPr>
              <w:widowControl w:val="0"/>
              <w:autoSpaceDE w:val="0"/>
              <w:autoSpaceDN w:val="0"/>
              <w:adjustRightInd w:val="0"/>
              <w:rPr>
                <w:sz w:val="19"/>
                <w:szCs w:val="19"/>
                <w:lang w:val="en-CA"/>
              </w:rPr>
            </w:pPr>
            <w:r w:rsidRPr="00342C72">
              <w:rPr>
                <w:sz w:val="19"/>
                <w:szCs w:val="19"/>
                <w:lang w:val="en-CA"/>
              </w:rPr>
              <w:t>Email:</w:t>
            </w:r>
          </w:p>
        </w:tc>
        <w:tc>
          <w:tcPr>
            <w:tcW w:w="7087" w:type="dxa"/>
            <w:tcBorders>
              <w:top w:val="nil"/>
              <w:left w:val="nil"/>
              <w:bottom w:val="nil"/>
              <w:right w:val="nil"/>
            </w:tcBorders>
          </w:tcPr>
          <w:p w14:paraId="56153ADD" w14:textId="77777777" w:rsidR="00167FD9" w:rsidRPr="00342C72" w:rsidRDefault="00A1316B" w:rsidP="00AB1023">
            <w:pPr>
              <w:widowControl w:val="0"/>
              <w:autoSpaceDE w:val="0"/>
              <w:autoSpaceDN w:val="0"/>
              <w:adjustRightInd w:val="0"/>
              <w:rPr>
                <w:sz w:val="19"/>
                <w:szCs w:val="19"/>
                <w:lang w:val="en-CA"/>
              </w:rPr>
            </w:pPr>
            <w:hyperlink r:id="rId4" w:history="1">
              <w:r w:rsidR="00167FD9" w:rsidRPr="00342C72">
                <w:rPr>
                  <w:rStyle w:val="Hyperlink"/>
                  <w:color w:val="auto"/>
                  <w:sz w:val="19"/>
                  <w:szCs w:val="19"/>
                  <w:lang w:val="en-CA"/>
                </w:rPr>
                <w:t>odonogr1@tcd.ie</w:t>
              </w:r>
            </w:hyperlink>
            <w:r w:rsidR="00167FD9" w:rsidRPr="00342C72">
              <w:rPr>
                <w:sz w:val="19"/>
                <w:szCs w:val="19"/>
                <w:lang w:val="en-CA"/>
              </w:rPr>
              <w:t xml:space="preserve"> </w:t>
            </w:r>
          </w:p>
        </w:tc>
      </w:tr>
    </w:tbl>
    <w:p w14:paraId="5A63ED81" w14:textId="77777777" w:rsidR="00167FD9" w:rsidRPr="00342C72" w:rsidRDefault="00167FD9" w:rsidP="00167FD9">
      <w:pPr>
        <w:rPr>
          <w:sz w:val="19"/>
          <w:szCs w:val="19"/>
          <w:lang w:val="en-CA"/>
        </w:rPr>
      </w:pPr>
    </w:p>
    <w:p w14:paraId="469B5FE7" w14:textId="77777777" w:rsidR="00167FD9" w:rsidRPr="00342C72" w:rsidRDefault="00167FD9" w:rsidP="00167FD9">
      <w:pPr>
        <w:rPr>
          <w:sz w:val="19"/>
          <w:szCs w:val="19"/>
          <w:lang w:val="en-CA"/>
        </w:rPr>
      </w:pPr>
    </w:p>
    <w:p w14:paraId="51BB0C4A" w14:textId="77777777" w:rsidR="00167FD9" w:rsidRPr="00342C72" w:rsidRDefault="00167FD9" w:rsidP="00167FD9">
      <w:pPr>
        <w:rPr>
          <w:sz w:val="19"/>
          <w:szCs w:val="19"/>
          <w:lang w:val="en-CA"/>
        </w:rPr>
      </w:pPr>
    </w:p>
    <w:p w14:paraId="0FD357E4" w14:textId="53D367D7" w:rsidR="00167FD9" w:rsidRPr="00342C72" w:rsidRDefault="00167FD9" w:rsidP="00167FD9">
      <w:pPr>
        <w:jc w:val="both"/>
        <w:rPr>
          <w:b/>
          <w:bCs/>
          <w:sz w:val="19"/>
          <w:szCs w:val="19"/>
          <w:lang w:val="en-US"/>
        </w:rPr>
      </w:pPr>
      <w:r>
        <w:rPr>
          <w:b/>
          <w:bCs/>
          <w:sz w:val="19"/>
          <w:szCs w:val="19"/>
          <w:lang w:val="en-US"/>
        </w:rPr>
        <w:t>BYRNEWALLACE LLP</w:t>
      </w:r>
    </w:p>
    <w:p w14:paraId="39DF739C" w14:textId="06529BAC" w:rsidR="00167FD9" w:rsidRPr="00EA42C7" w:rsidRDefault="00167FD9" w:rsidP="00167FD9">
      <w:pPr>
        <w:jc w:val="both"/>
        <w:rPr>
          <w:sz w:val="21"/>
          <w:szCs w:val="21"/>
          <w:lang w:val="en-US"/>
        </w:rPr>
      </w:pPr>
      <w:r>
        <w:rPr>
          <w:sz w:val="21"/>
          <w:szCs w:val="21"/>
          <w:lang w:val="en-US"/>
        </w:rPr>
        <w:t xml:space="preserve">88 Harcourt Street, </w:t>
      </w:r>
    </w:p>
    <w:p w14:paraId="4C6300D6" w14:textId="4A4A4F98" w:rsidR="00167FD9" w:rsidRPr="00EA42C7" w:rsidRDefault="00167FD9" w:rsidP="00167FD9">
      <w:pPr>
        <w:jc w:val="both"/>
        <w:rPr>
          <w:sz w:val="21"/>
          <w:szCs w:val="21"/>
          <w:lang w:val="en-US"/>
        </w:rPr>
      </w:pPr>
      <w:r>
        <w:rPr>
          <w:sz w:val="21"/>
          <w:szCs w:val="21"/>
          <w:lang w:val="en-US"/>
        </w:rPr>
        <w:t>Dublin 2, D02 DK18</w:t>
      </w:r>
      <w:r w:rsidRPr="00EA42C7">
        <w:rPr>
          <w:sz w:val="21"/>
          <w:szCs w:val="21"/>
          <w:lang w:val="en-US"/>
        </w:rPr>
        <w:t>.</w:t>
      </w:r>
    </w:p>
    <w:p w14:paraId="0D23F16E" w14:textId="77777777" w:rsidR="00167FD9" w:rsidRPr="00EA42C7" w:rsidRDefault="00167FD9" w:rsidP="00167FD9">
      <w:pPr>
        <w:jc w:val="both"/>
        <w:rPr>
          <w:sz w:val="21"/>
          <w:szCs w:val="21"/>
          <w:lang w:val="en-US"/>
        </w:rPr>
      </w:pPr>
    </w:p>
    <w:p w14:paraId="36F1BAB7" w14:textId="77777777" w:rsidR="00167FD9" w:rsidRPr="00EA42C7" w:rsidRDefault="00167FD9" w:rsidP="00167FD9">
      <w:pPr>
        <w:jc w:val="both"/>
        <w:rPr>
          <w:sz w:val="21"/>
          <w:szCs w:val="21"/>
          <w:lang w:val="en-US"/>
        </w:rPr>
      </w:pPr>
    </w:p>
    <w:p w14:paraId="7294C955" w14:textId="001444BF" w:rsidR="00167FD9" w:rsidRPr="00EA42C7" w:rsidRDefault="00167FD9" w:rsidP="00167FD9">
      <w:pPr>
        <w:jc w:val="both"/>
        <w:rPr>
          <w:sz w:val="21"/>
          <w:szCs w:val="21"/>
          <w:lang w:val="en-US"/>
        </w:rPr>
      </w:pPr>
      <w:r>
        <w:rPr>
          <w:sz w:val="21"/>
          <w:szCs w:val="21"/>
          <w:lang w:val="en-US"/>
        </w:rPr>
        <w:t>Dear Emily</w:t>
      </w:r>
      <w:r w:rsidR="00BB1B85">
        <w:rPr>
          <w:sz w:val="21"/>
          <w:szCs w:val="21"/>
          <w:lang w:val="en-US"/>
        </w:rPr>
        <w:t xml:space="preserve"> Murray</w:t>
      </w:r>
      <w:r>
        <w:rPr>
          <w:sz w:val="21"/>
          <w:szCs w:val="21"/>
          <w:lang w:val="en-US"/>
        </w:rPr>
        <w:t xml:space="preserve">, </w:t>
      </w:r>
    </w:p>
    <w:p w14:paraId="50FCAD53" w14:textId="77777777" w:rsidR="00167FD9" w:rsidRPr="00EA42C7" w:rsidRDefault="00167FD9" w:rsidP="00167FD9">
      <w:pPr>
        <w:jc w:val="both"/>
        <w:rPr>
          <w:sz w:val="21"/>
          <w:szCs w:val="21"/>
          <w:lang w:val="en-US"/>
        </w:rPr>
      </w:pPr>
    </w:p>
    <w:p w14:paraId="46786967" w14:textId="1528D6F3" w:rsidR="00167FD9" w:rsidRDefault="00167FD9" w:rsidP="00167FD9">
      <w:pPr>
        <w:jc w:val="both"/>
        <w:rPr>
          <w:sz w:val="21"/>
          <w:szCs w:val="21"/>
        </w:rPr>
      </w:pPr>
      <w:r>
        <w:rPr>
          <w:sz w:val="21"/>
          <w:szCs w:val="21"/>
        </w:rPr>
        <w:t>My name is Róisín O’Donoghue and I am a graduate of law from Trinity College Dublin, currently pursuing an LLM in Public International Law at the University of Amsterdam. Many factors have motivated my decision to apply for the ByrneWallace</w:t>
      </w:r>
      <w:r w:rsidR="00A1316B">
        <w:rPr>
          <w:sz w:val="21"/>
          <w:szCs w:val="21"/>
        </w:rPr>
        <w:t xml:space="preserve"> LLP</w:t>
      </w:r>
      <w:r>
        <w:rPr>
          <w:sz w:val="21"/>
          <w:szCs w:val="21"/>
        </w:rPr>
        <w:t xml:space="preserve"> Trainee Solicitor Programme. I know I have the passion, professionalism and diligence needed to become a valuable member of the ByrneWallace team. </w:t>
      </w:r>
    </w:p>
    <w:p w14:paraId="5B7013A1" w14:textId="75ADFD0C" w:rsidR="00167FD9" w:rsidRDefault="00167FD9" w:rsidP="00167FD9">
      <w:pPr>
        <w:jc w:val="both"/>
        <w:rPr>
          <w:sz w:val="21"/>
          <w:szCs w:val="21"/>
        </w:rPr>
      </w:pPr>
    </w:p>
    <w:p w14:paraId="1E908368" w14:textId="4A61AFD6" w:rsidR="00F47B64" w:rsidRDefault="00167FD9" w:rsidP="00167FD9">
      <w:pPr>
        <w:jc w:val="both"/>
        <w:rPr>
          <w:sz w:val="21"/>
          <w:szCs w:val="21"/>
        </w:rPr>
      </w:pPr>
      <w:r>
        <w:rPr>
          <w:sz w:val="21"/>
          <w:szCs w:val="21"/>
        </w:rPr>
        <w:t xml:space="preserve">Graduating during the global pandemic has highlighted my resilience, </w:t>
      </w:r>
      <w:r w:rsidR="00BB1B85">
        <w:rPr>
          <w:sz w:val="21"/>
          <w:szCs w:val="21"/>
        </w:rPr>
        <w:t>self-determination,</w:t>
      </w:r>
      <w:r>
        <w:rPr>
          <w:sz w:val="21"/>
          <w:szCs w:val="21"/>
        </w:rPr>
        <w:t xml:space="preserve"> and ability to adapt in times of change. I worked diligently in my final year to attain an excellent degree. My part-time Front of House position in a local restaurant quickly became a full-time Assistant Management position</w:t>
      </w:r>
      <w:r w:rsidR="00F47B64">
        <w:rPr>
          <w:sz w:val="21"/>
          <w:szCs w:val="21"/>
        </w:rPr>
        <w:t xml:space="preserve"> in a b</w:t>
      </w:r>
      <w:r w:rsidR="00BB1B85">
        <w:rPr>
          <w:sz w:val="21"/>
          <w:szCs w:val="21"/>
        </w:rPr>
        <w:t>usy</w:t>
      </w:r>
      <w:r w:rsidR="00F47B64">
        <w:rPr>
          <w:sz w:val="21"/>
          <w:szCs w:val="21"/>
        </w:rPr>
        <w:t xml:space="preserve"> takeaway.</w:t>
      </w:r>
      <w:r w:rsidR="00BB1B85">
        <w:rPr>
          <w:sz w:val="21"/>
          <w:szCs w:val="21"/>
        </w:rPr>
        <w:t xml:space="preserve"> </w:t>
      </w:r>
      <w:r w:rsidR="00F47B64">
        <w:rPr>
          <w:sz w:val="21"/>
          <w:szCs w:val="21"/>
        </w:rPr>
        <w:t xml:space="preserve">Alongside my job, I completed seven FE-1 examinations, with the confidence of passing my remaining exam this October. </w:t>
      </w:r>
    </w:p>
    <w:p w14:paraId="140AD988" w14:textId="77777777" w:rsidR="00F47B64" w:rsidRDefault="00F47B64" w:rsidP="00167FD9">
      <w:pPr>
        <w:jc w:val="both"/>
        <w:rPr>
          <w:sz w:val="21"/>
          <w:szCs w:val="21"/>
        </w:rPr>
      </w:pPr>
    </w:p>
    <w:p w14:paraId="2ED1B557" w14:textId="1CA81CD1" w:rsidR="00167FD9" w:rsidRDefault="00F47B64" w:rsidP="00167FD9">
      <w:pPr>
        <w:jc w:val="both"/>
        <w:rPr>
          <w:sz w:val="21"/>
          <w:szCs w:val="21"/>
        </w:rPr>
      </w:pPr>
      <w:r>
        <w:rPr>
          <w:sz w:val="21"/>
          <w:szCs w:val="21"/>
        </w:rPr>
        <w:t>The past year has highlighted how the world is interconnected as never before. We are cons</w:t>
      </w:r>
      <w:r w:rsidR="00BB1B85">
        <w:rPr>
          <w:sz w:val="21"/>
          <w:szCs w:val="21"/>
        </w:rPr>
        <w:t>tantly</w:t>
      </w:r>
      <w:r>
        <w:rPr>
          <w:sz w:val="21"/>
          <w:szCs w:val="21"/>
        </w:rPr>
        <w:t xml:space="preserve"> facing challenges with domestic roots that require global solutions. As someone with a passion for continuous learning, I decided to pursue an LLM in Public International Law. ByrneWallace is a firm that conducts business locally, regionally and on a national and international basis. I believe this</w:t>
      </w:r>
      <w:r w:rsidR="00BB1B85">
        <w:rPr>
          <w:sz w:val="21"/>
          <w:szCs w:val="21"/>
        </w:rPr>
        <w:t xml:space="preserve"> LLM </w:t>
      </w:r>
      <w:r>
        <w:rPr>
          <w:sz w:val="21"/>
          <w:szCs w:val="21"/>
        </w:rPr>
        <w:t xml:space="preserve">programme will </w:t>
      </w:r>
      <w:r w:rsidR="00BB1B85">
        <w:rPr>
          <w:sz w:val="21"/>
          <w:szCs w:val="21"/>
        </w:rPr>
        <w:t xml:space="preserve">further </w:t>
      </w:r>
      <w:r>
        <w:rPr>
          <w:sz w:val="21"/>
          <w:szCs w:val="21"/>
        </w:rPr>
        <w:t xml:space="preserve">equip me with the necessary skills </w:t>
      </w:r>
      <w:r w:rsidR="00BB1B85">
        <w:rPr>
          <w:sz w:val="21"/>
          <w:szCs w:val="21"/>
        </w:rPr>
        <w:t xml:space="preserve">required to contribute to the firm’s deliverance of excellent expertise.  </w:t>
      </w:r>
    </w:p>
    <w:p w14:paraId="4937A3F7" w14:textId="769A1611" w:rsidR="00F47B64" w:rsidRDefault="00F47B64" w:rsidP="00167FD9">
      <w:pPr>
        <w:jc w:val="both"/>
        <w:rPr>
          <w:sz w:val="21"/>
          <w:szCs w:val="21"/>
        </w:rPr>
      </w:pPr>
    </w:p>
    <w:p w14:paraId="104D7421" w14:textId="1D058350" w:rsidR="00F47B64" w:rsidRDefault="00F47B64" w:rsidP="00167FD9">
      <w:pPr>
        <w:jc w:val="both"/>
        <w:rPr>
          <w:sz w:val="21"/>
          <w:szCs w:val="21"/>
        </w:rPr>
      </w:pPr>
      <w:r>
        <w:rPr>
          <w:sz w:val="21"/>
          <w:szCs w:val="21"/>
        </w:rPr>
        <w:t xml:space="preserve">After gaining experience in various legal environments, I aspire to work as a corporate solicitor, where I can play my part in providing comprehensive and effective legal advice in addressing client needs. At ByrneWallace, the exposure to high-calibre clients and challenging work in a dynamic environment would allow me to excel in my training. ByrneWallace encourages its trainees to drive their own experience, and to explore areas which interest them. I would relish the opportunity to make a real contribution to the firm’s work across the areas of law which </w:t>
      </w:r>
      <w:r w:rsidR="00BB1B85">
        <w:rPr>
          <w:sz w:val="21"/>
          <w:szCs w:val="21"/>
        </w:rPr>
        <w:t>particularly spark my interest</w:t>
      </w:r>
      <w:r>
        <w:rPr>
          <w:sz w:val="21"/>
          <w:szCs w:val="21"/>
        </w:rPr>
        <w:t xml:space="preserve">, such as employment and environmental. </w:t>
      </w:r>
      <w:r w:rsidR="00913845">
        <w:rPr>
          <w:sz w:val="21"/>
          <w:szCs w:val="21"/>
        </w:rPr>
        <w:t xml:space="preserve">Working alongside the highly-regarded ByrneWallace experts across a wide spectrum of the law would be an incredible and invaluable experience. </w:t>
      </w:r>
    </w:p>
    <w:p w14:paraId="43033D81" w14:textId="6E5B4950" w:rsidR="00913845" w:rsidRDefault="00913845" w:rsidP="00167FD9">
      <w:pPr>
        <w:jc w:val="both"/>
        <w:rPr>
          <w:sz w:val="21"/>
          <w:szCs w:val="21"/>
        </w:rPr>
      </w:pPr>
    </w:p>
    <w:p w14:paraId="3F187EE5" w14:textId="25150AF2" w:rsidR="00913845" w:rsidRDefault="00913845" w:rsidP="00167FD9">
      <w:pPr>
        <w:jc w:val="both"/>
        <w:rPr>
          <w:sz w:val="21"/>
          <w:szCs w:val="21"/>
        </w:rPr>
      </w:pPr>
      <w:r>
        <w:rPr>
          <w:sz w:val="21"/>
          <w:szCs w:val="21"/>
        </w:rPr>
        <w:t>From playing and coaching Ladies Football and Camogie, I appreciate the benefits reaped from leading a balanced working and active lifestyle. Sport has taught me the value of collegiality, leadership, and dedication. As a player, not only do I play for myself, but I play for my team. I believe this ethos is transferable to the working environment, particularly at ByrneWallace, where the firm’s people are considered its most important resource.</w:t>
      </w:r>
    </w:p>
    <w:p w14:paraId="54C66A28" w14:textId="5AE36023" w:rsidR="00913845" w:rsidRDefault="00913845" w:rsidP="00167FD9">
      <w:pPr>
        <w:jc w:val="both"/>
        <w:rPr>
          <w:sz w:val="21"/>
          <w:szCs w:val="21"/>
        </w:rPr>
      </w:pPr>
    </w:p>
    <w:p w14:paraId="5FEC1639" w14:textId="65F85F4B" w:rsidR="00913845" w:rsidRDefault="00913845" w:rsidP="00167FD9">
      <w:pPr>
        <w:jc w:val="both"/>
        <w:rPr>
          <w:sz w:val="21"/>
          <w:szCs w:val="21"/>
        </w:rPr>
      </w:pPr>
      <w:r>
        <w:rPr>
          <w:sz w:val="21"/>
          <w:szCs w:val="21"/>
        </w:rPr>
        <w:t xml:space="preserve">I believe that the training and experience at ByrneWallace LLP is second to none. The firm’s collaborative and solutions driven ethos matches my ambition to work in a cooperative and challenging environment. I know that the Trainee Programme would provide me with an excellent start into a life of legal ambition. </w:t>
      </w:r>
    </w:p>
    <w:p w14:paraId="0EA46861" w14:textId="54451B57" w:rsidR="00913845" w:rsidRDefault="00913845" w:rsidP="00167FD9">
      <w:pPr>
        <w:jc w:val="both"/>
        <w:rPr>
          <w:sz w:val="21"/>
          <w:szCs w:val="21"/>
        </w:rPr>
      </w:pPr>
    </w:p>
    <w:p w14:paraId="7A36CB18" w14:textId="1A152916" w:rsidR="00913845" w:rsidRPr="00EA42C7" w:rsidRDefault="00913845" w:rsidP="00167FD9">
      <w:pPr>
        <w:jc w:val="both"/>
        <w:rPr>
          <w:sz w:val="21"/>
          <w:szCs w:val="21"/>
        </w:rPr>
      </w:pPr>
      <w:r>
        <w:rPr>
          <w:sz w:val="21"/>
          <w:szCs w:val="21"/>
        </w:rPr>
        <w:t xml:space="preserve">I assure you that I would be fully committed and would give excellent service to ByrneWallace LLP. </w:t>
      </w:r>
    </w:p>
    <w:p w14:paraId="14707454" w14:textId="77777777" w:rsidR="00167FD9" w:rsidRPr="00EA42C7" w:rsidRDefault="00167FD9" w:rsidP="00167FD9">
      <w:pPr>
        <w:jc w:val="both"/>
        <w:rPr>
          <w:sz w:val="21"/>
          <w:szCs w:val="21"/>
        </w:rPr>
      </w:pPr>
    </w:p>
    <w:p w14:paraId="392B812C" w14:textId="164F4465" w:rsidR="00167FD9" w:rsidRPr="00EA42C7" w:rsidRDefault="00167FD9" w:rsidP="00167FD9">
      <w:pPr>
        <w:jc w:val="both"/>
        <w:rPr>
          <w:sz w:val="21"/>
          <w:szCs w:val="21"/>
        </w:rPr>
      </w:pPr>
      <w:r w:rsidRPr="00EA42C7">
        <w:rPr>
          <w:sz w:val="21"/>
          <w:szCs w:val="21"/>
        </w:rPr>
        <w:t xml:space="preserve">Yours </w:t>
      </w:r>
      <w:r w:rsidR="00913845">
        <w:rPr>
          <w:sz w:val="21"/>
          <w:szCs w:val="21"/>
        </w:rPr>
        <w:t xml:space="preserve">sincerely, </w:t>
      </w:r>
    </w:p>
    <w:p w14:paraId="550759D6" w14:textId="77777777" w:rsidR="00167FD9" w:rsidRPr="00EA42C7" w:rsidRDefault="00167FD9" w:rsidP="00167FD9">
      <w:pPr>
        <w:jc w:val="both"/>
        <w:rPr>
          <w:sz w:val="21"/>
          <w:szCs w:val="21"/>
        </w:rPr>
      </w:pPr>
      <w:r w:rsidRPr="00EA42C7">
        <w:rPr>
          <w:sz w:val="21"/>
          <w:szCs w:val="21"/>
        </w:rPr>
        <w:t>Róisín O’Donoghue</w:t>
      </w:r>
    </w:p>
    <w:p w14:paraId="160E5351" w14:textId="77777777" w:rsidR="00167FD9" w:rsidRPr="00EA42C7" w:rsidRDefault="00167FD9" w:rsidP="00167FD9">
      <w:pPr>
        <w:jc w:val="both"/>
        <w:rPr>
          <w:sz w:val="21"/>
          <w:szCs w:val="21"/>
        </w:rPr>
      </w:pPr>
    </w:p>
    <w:p w14:paraId="3E9F0578" w14:textId="77777777" w:rsidR="00167FD9" w:rsidRPr="00EA42C7" w:rsidRDefault="00167FD9" w:rsidP="00167FD9">
      <w:pPr>
        <w:jc w:val="both"/>
        <w:rPr>
          <w:sz w:val="21"/>
          <w:szCs w:val="21"/>
        </w:rPr>
      </w:pPr>
    </w:p>
    <w:p w14:paraId="75A1AB86" w14:textId="77777777" w:rsidR="00167FD9" w:rsidRPr="00EA42C7" w:rsidRDefault="00167FD9" w:rsidP="00167FD9">
      <w:pPr>
        <w:jc w:val="both"/>
        <w:rPr>
          <w:i/>
          <w:sz w:val="21"/>
          <w:szCs w:val="21"/>
        </w:rPr>
      </w:pPr>
    </w:p>
    <w:p w14:paraId="563E3933" w14:textId="77777777" w:rsidR="00167FD9" w:rsidRPr="00EA42C7" w:rsidRDefault="00167FD9" w:rsidP="00167FD9">
      <w:pPr>
        <w:jc w:val="both"/>
        <w:rPr>
          <w:i/>
          <w:sz w:val="21"/>
          <w:szCs w:val="21"/>
        </w:rPr>
      </w:pPr>
    </w:p>
    <w:p w14:paraId="2C254DBE" w14:textId="77777777" w:rsidR="00167FD9" w:rsidRPr="00EA42C7" w:rsidRDefault="00167FD9" w:rsidP="00167FD9">
      <w:pPr>
        <w:jc w:val="both"/>
        <w:rPr>
          <w:i/>
          <w:sz w:val="21"/>
          <w:szCs w:val="21"/>
        </w:rPr>
      </w:pPr>
    </w:p>
    <w:p w14:paraId="2E24414D" w14:textId="77777777" w:rsidR="00167FD9" w:rsidRPr="00EA42C7" w:rsidRDefault="00167FD9" w:rsidP="00167FD9">
      <w:pPr>
        <w:jc w:val="both"/>
        <w:rPr>
          <w:sz w:val="21"/>
          <w:szCs w:val="21"/>
        </w:rPr>
      </w:pPr>
    </w:p>
    <w:p w14:paraId="3FE9E131" w14:textId="77777777" w:rsidR="00167FD9" w:rsidRPr="00EA42C7" w:rsidRDefault="00167FD9" w:rsidP="00167FD9">
      <w:pPr>
        <w:jc w:val="both"/>
        <w:rPr>
          <w:sz w:val="21"/>
          <w:szCs w:val="21"/>
        </w:rPr>
      </w:pPr>
    </w:p>
    <w:p w14:paraId="0A70F3D0" w14:textId="77777777" w:rsidR="00167FD9" w:rsidRPr="00CB08FD" w:rsidRDefault="00167FD9" w:rsidP="00167FD9"/>
    <w:p w14:paraId="7109D849" w14:textId="77777777" w:rsidR="001C4E6A" w:rsidRDefault="001C4E6A"/>
    <w:sectPr w:rsidR="001C4E6A" w:rsidSect="00ED6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9"/>
    <w:rsid w:val="00167FD9"/>
    <w:rsid w:val="001C4E6A"/>
    <w:rsid w:val="00913845"/>
    <w:rsid w:val="00A1316B"/>
    <w:rsid w:val="00BB1B85"/>
    <w:rsid w:val="00CF1F98"/>
    <w:rsid w:val="00F47B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592A"/>
  <w15:chartTrackingRefBased/>
  <w15:docId w15:val="{59FBF1F5-B976-4B11-B779-EA209F9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D9"/>
    <w:pPr>
      <w:spacing w:after="0" w:line="240" w:lineRule="auto"/>
    </w:pPr>
    <w:rPr>
      <w:rFonts w:eastAsia="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67FD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onogr1@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3</cp:revision>
  <dcterms:created xsi:type="dcterms:W3CDTF">2021-10-04T16:42:00Z</dcterms:created>
  <dcterms:modified xsi:type="dcterms:W3CDTF">2021-10-06T16:18:00Z</dcterms:modified>
</cp:coreProperties>
</file>